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52E0" w14:textId="311B7166" w:rsidR="003E44E2" w:rsidRPr="009F6576" w:rsidRDefault="00B84C8D" w:rsidP="00995E35">
      <w:pPr>
        <w:pStyle w:val="Heading1"/>
      </w:pPr>
      <w:r>
        <w:t xml:space="preserve">The Gordon Supplier Engagement Plan </w:t>
      </w:r>
    </w:p>
    <w:p w14:paraId="4182E098" w14:textId="77777777" w:rsidR="003E44E2" w:rsidRDefault="003E44E2" w:rsidP="004837EE"/>
    <w:p w14:paraId="115CB700" w14:textId="2760A37E" w:rsidR="003E44E2" w:rsidRDefault="003E44E2" w:rsidP="003E44E2">
      <w:r w:rsidRPr="003E44E2">
        <w:t>The Gordon is committed to working strategically with suppliers to support the delivery of high-quality vocational education and training services.</w:t>
      </w:r>
    </w:p>
    <w:p w14:paraId="085CE879" w14:textId="77777777" w:rsidR="003E44E2" w:rsidRPr="003E44E2" w:rsidRDefault="003E44E2" w:rsidP="003E44E2"/>
    <w:p w14:paraId="2CE53D3D" w14:textId="77777777" w:rsidR="003E44E2" w:rsidRDefault="003E44E2" w:rsidP="003E44E2">
      <w:r w:rsidRPr="003E44E2">
        <w:t>The purpose of this Supplier Engagement Plan (SEP) is to strengthen supplier relationships and enhance procurement outcomes, ensuring value for money, innovation, and compliance with Victorian Government requirements.</w:t>
      </w:r>
    </w:p>
    <w:p w14:paraId="4B342575" w14:textId="77777777" w:rsidR="003E44E2" w:rsidRDefault="003E44E2" w:rsidP="003E44E2"/>
    <w:p w14:paraId="20758BAD" w14:textId="345C211A" w:rsidR="003E44E2" w:rsidRDefault="003E44E2" w:rsidP="003E44E2">
      <w:r>
        <w:t>A</w:t>
      </w:r>
      <w:r w:rsidRPr="003E44E2">
        <w:t>s a Victorian Public Sector Agency</w:t>
      </w:r>
      <w:r>
        <w:t>, The Gordon</w:t>
      </w:r>
      <w:r w:rsidRPr="003E44E2">
        <w:t xml:space="preserve"> is mandated to purchase selected goods and services via State Purchasing Contracts (SPCs) and supplier registers or directories established by the </w:t>
      </w:r>
      <w:r w:rsidR="00B84C8D">
        <w:t>Victorian Government Purchasing Board (</w:t>
      </w:r>
      <w:r w:rsidRPr="003E44E2">
        <w:t>VGPB</w:t>
      </w:r>
      <w:r w:rsidR="00B84C8D">
        <w:t>)</w:t>
      </w:r>
      <w:r w:rsidRPr="003E44E2">
        <w:t>.</w:t>
      </w:r>
    </w:p>
    <w:p w14:paraId="7A59B72A" w14:textId="77777777" w:rsidR="003E44E2" w:rsidRDefault="003E44E2" w:rsidP="003E44E2"/>
    <w:p w14:paraId="73E93D6B" w14:textId="71118A7A" w:rsidR="003E44E2" w:rsidRPr="003E44E2" w:rsidRDefault="003E44E2" w:rsidP="003E44E2">
      <w:r>
        <w:t>Th</w:t>
      </w:r>
      <w:r w:rsidRPr="003E44E2">
        <w:t xml:space="preserve">ese whole of Victorian Government contracts, panels, registers, or directories have been designed to streamline procurement activities enabling </w:t>
      </w:r>
      <w:r>
        <w:t>The Gordon</w:t>
      </w:r>
      <w:r w:rsidRPr="003E44E2">
        <w:t xml:space="preserve"> to make the most of economies of scale when buying from the marketplace and reduce many risks by accessing pre-negotiated contract terms and conditions.</w:t>
      </w:r>
      <w:r w:rsidRPr="003E44E2">
        <w:br/>
      </w:r>
      <w:r w:rsidRPr="003E44E2">
        <w:br/>
        <w:t>The benefits of SPCs include:</w:t>
      </w:r>
    </w:p>
    <w:p w14:paraId="55E61719" w14:textId="77777777" w:rsidR="003E44E2" w:rsidRPr="003E44E2" w:rsidRDefault="003E44E2" w:rsidP="003E44E2">
      <w:pPr>
        <w:numPr>
          <w:ilvl w:val="0"/>
          <w:numId w:val="3"/>
        </w:numPr>
      </w:pPr>
      <w:r w:rsidRPr="003E44E2">
        <w:t>Better value for money using the State’s buying power</w:t>
      </w:r>
    </w:p>
    <w:p w14:paraId="77110334" w14:textId="77777777" w:rsidR="003E44E2" w:rsidRPr="003E44E2" w:rsidRDefault="003E44E2" w:rsidP="003E44E2">
      <w:pPr>
        <w:numPr>
          <w:ilvl w:val="0"/>
          <w:numId w:val="3"/>
        </w:numPr>
      </w:pPr>
      <w:r w:rsidRPr="003E44E2">
        <w:t>Supply and service continuity</w:t>
      </w:r>
    </w:p>
    <w:p w14:paraId="62B4DC06" w14:textId="77777777" w:rsidR="003E44E2" w:rsidRPr="003E44E2" w:rsidRDefault="003E44E2" w:rsidP="003E44E2">
      <w:pPr>
        <w:numPr>
          <w:ilvl w:val="0"/>
          <w:numId w:val="3"/>
        </w:numPr>
      </w:pPr>
      <w:r w:rsidRPr="003E44E2">
        <w:t>Reduced risks through pre-negotiated contract terms and conditions</w:t>
      </w:r>
    </w:p>
    <w:p w14:paraId="4F69AF04" w14:textId="77777777" w:rsidR="003E44E2" w:rsidRPr="003E44E2" w:rsidRDefault="003E44E2" w:rsidP="003E44E2">
      <w:pPr>
        <w:numPr>
          <w:ilvl w:val="0"/>
          <w:numId w:val="3"/>
        </w:numPr>
      </w:pPr>
      <w:r w:rsidRPr="003E44E2">
        <w:t>Improved quality assurance</w:t>
      </w:r>
    </w:p>
    <w:p w14:paraId="246C0851" w14:textId="77777777" w:rsidR="003E44E2" w:rsidRPr="003E44E2" w:rsidRDefault="003E44E2" w:rsidP="003E44E2">
      <w:pPr>
        <w:numPr>
          <w:ilvl w:val="0"/>
          <w:numId w:val="3"/>
        </w:numPr>
      </w:pPr>
      <w:r w:rsidRPr="003E44E2">
        <w:t>Efficiency gains through a standard and consistent approach</w:t>
      </w:r>
    </w:p>
    <w:p w14:paraId="5F87D96D" w14:textId="77777777" w:rsidR="003E44E2" w:rsidRPr="003E44E2" w:rsidRDefault="003E44E2" w:rsidP="003E44E2">
      <w:pPr>
        <w:numPr>
          <w:ilvl w:val="0"/>
          <w:numId w:val="3"/>
        </w:numPr>
      </w:pPr>
      <w:r w:rsidRPr="003E44E2">
        <w:t>Increased accountability and governance</w:t>
      </w:r>
    </w:p>
    <w:p w14:paraId="79AD07CE" w14:textId="77777777" w:rsidR="003E44E2" w:rsidRPr="003E44E2" w:rsidRDefault="003E44E2" w:rsidP="003E44E2">
      <w:pPr>
        <w:numPr>
          <w:ilvl w:val="0"/>
          <w:numId w:val="3"/>
        </w:numPr>
      </w:pPr>
      <w:r w:rsidRPr="003E44E2">
        <w:t>Improved contract monitoring and reporting</w:t>
      </w:r>
    </w:p>
    <w:p w14:paraId="7E116889" w14:textId="77777777" w:rsidR="003E44E2" w:rsidRPr="003E44E2" w:rsidRDefault="003E44E2" w:rsidP="003E44E2">
      <w:pPr>
        <w:numPr>
          <w:ilvl w:val="0"/>
          <w:numId w:val="3"/>
        </w:numPr>
      </w:pPr>
      <w:r w:rsidRPr="003E44E2">
        <w:t>Ability to drive continuous improvement</w:t>
      </w:r>
    </w:p>
    <w:p w14:paraId="7CE455F6" w14:textId="77777777" w:rsidR="003E44E2" w:rsidRPr="003E44E2" w:rsidRDefault="003E44E2" w:rsidP="003E44E2">
      <w:pPr>
        <w:numPr>
          <w:ilvl w:val="0"/>
          <w:numId w:val="3"/>
        </w:numPr>
      </w:pPr>
      <w:r w:rsidRPr="003E44E2">
        <w:t>Access for suppliers through competitive tender processes</w:t>
      </w:r>
    </w:p>
    <w:p w14:paraId="78C58B92" w14:textId="77777777" w:rsidR="003E44E2" w:rsidRDefault="003E44E2" w:rsidP="003E44E2"/>
    <w:p w14:paraId="051C32BB" w14:textId="56E4A533" w:rsidR="003E44E2" w:rsidRPr="003E44E2" w:rsidRDefault="003E44E2" w:rsidP="003E44E2">
      <w:r w:rsidRPr="003E44E2">
        <w:t xml:space="preserve">If you are a supplier of goods and services covered by an “open” Supplier Register </w:t>
      </w:r>
      <w:r w:rsidR="00B84C8D">
        <w:t xml:space="preserve">The Gordon encourages you to join the VGPB register to make doing </w:t>
      </w:r>
      <w:r w:rsidR="00B84C8D" w:rsidRPr="003E44E2">
        <w:t xml:space="preserve">business easier for both the supplier and </w:t>
      </w:r>
      <w:r w:rsidR="00B84C8D">
        <w:t>The Gordon</w:t>
      </w:r>
      <w:r w:rsidR="00B84C8D">
        <w:t xml:space="preserve"> for example: </w:t>
      </w:r>
    </w:p>
    <w:p w14:paraId="25D2E0CA" w14:textId="77777777" w:rsidR="003E44E2" w:rsidRPr="003E44E2" w:rsidRDefault="003E44E2" w:rsidP="003E44E2">
      <w:pPr>
        <w:numPr>
          <w:ilvl w:val="0"/>
          <w:numId w:val="6"/>
        </w:numPr>
      </w:pPr>
      <w:r w:rsidRPr="003E44E2">
        <w:t>Ethical Supplier  </w:t>
      </w:r>
    </w:p>
    <w:p w14:paraId="26066958" w14:textId="77777777" w:rsidR="003E44E2" w:rsidRPr="003E44E2" w:rsidRDefault="003E44E2" w:rsidP="003E44E2">
      <w:pPr>
        <w:numPr>
          <w:ilvl w:val="0"/>
          <w:numId w:val="6"/>
        </w:numPr>
      </w:pPr>
      <w:proofErr w:type="spellStart"/>
      <w:r w:rsidRPr="003E44E2">
        <w:t>eServices</w:t>
      </w:r>
      <w:proofErr w:type="spellEnd"/>
      <w:r w:rsidRPr="003E44E2">
        <w:t> </w:t>
      </w:r>
    </w:p>
    <w:p w14:paraId="5F042524" w14:textId="77777777" w:rsidR="003E44E2" w:rsidRPr="003E44E2" w:rsidRDefault="003E44E2" w:rsidP="003E44E2">
      <w:pPr>
        <w:numPr>
          <w:ilvl w:val="0"/>
          <w:numId w:val="6"/>
        </w:numPr>
      </w:pPr>
      <w:r w:rsidRPr="003E44E2">
        <w:t>IT Infrastructure Services </w:t>
      </w:r>
    </w:p>
    <w:p w14:paraId="3D11BD8E" w14:textId="77777777" w:rsidR="003E44E2" w:rsidRPr="003E44E2" w:rsidRDefault="003E44E2" w:rsidP="003E44E2">
      <w:pPr>
        <w:numPr>
          <w:ilvl w:val="0"/>
          <w:numId w:val="6"/>
        </w:numPr>
      </w:pPr>
      <w:r w:rsidRPr="003E44E2">
        <w:t>Marketing Services Register (MSR) </w:t>
      </w:r>
    </w:p>
    <w:p w14:paraId="6CA1C481" w14:textId="77777777" w:rsidR="003E44E2" w:rsidRPr="003E44E2" w:rsidRDefault="003E44E2" w:rsidP="003E44E2">
      <w:pPr>
        <w:numPr>
          <w:ilvl w:val="0"/>
          <w:numId w:val="6"/>
        </w:numPr>
      </w:pPr>
      <w:r w:rsidRPr="003E44E2">
        <w:t>Professional Advisory Services (PAS) </w:t>
      </w:r>
    </w:p>
    <w:p w14:paraId="14FC737D" w14:textId="77777777" w:rsidR="003E44E2" w:rsidRPr="003E44E2" w:rsidRDefault="003E44E2" w:rsidP="003E44E2">
      <w:pPr>
        <w:numPr>
          <w:ilvl w:val="0"/>
          <w:numId w:val="6"/>
        </w:numPr>
      </w:pPr>
      <w:r w:rsidRPr="003E44E2">
        <w:t>The Construction Supplier Register.</w:t>
      </w:r>
    </w:p>
    <w:p w14:paraId="5EC2CADB" w14:textId="1CA27630" w:rsidR="003E44E2" w:rsidRPr="003E44E2" w:rsidRDefault="003E44E2" w:rsidP="003E44E2">
      <w:r w:rsidRPr="003E44E2">
        <w:br/>
        <w:t xml:space="preserve">When goods and services are not supplied via a SPC or Register, </w:t>
      </w:r>
      <w:r>
        <w:t>The Gordon</w:t>
      </w:r>
      <w:r w:rsidRPr="003E44E2">
        <w:t xml:space="preserve"> will engage with the open market following our own procurement policies and processes. </w:t>
      </w:r>
      <w:r w:rsidRPr="003E44E2">
        <w:br/>
      </w:r>
      <w:r w:rsidRPr="003E44E2">
        <w:br/>
        <w:t>For more information about state purchasing contracts and registers, visit the </w:t>
      </w:r>
      <w:hyperlink r:id="rId8" w:history="1">
        <w:r w:rsidRPr="003E44E2">
          <w:rPr>
            <w:rStyle w:val="Hyperlink"/>
          </w:rPr>
          <w:t>Buying for Victoria website.</w:t>
        </w:r>
      </w:hyperlink>
    </w:p>
    <w:p w14:paraId="71ED2393" w14:textId="77777777" w:rsidR="003E44E2" w:rsidRDefault="003E44E2" w:rsidP="003E44E2">
      <w:r w:rsidRPr="003E44E2">
        <w:t> </w:t>
      </w:r>
    </w:p>
    <w:p w14:paraId="02826CF2" w14:textId="77777777" w:rsidR="003E44E2" w:rsidRDefault="003E44E2" w:rsidP="003E44E2"/>
    <w:p w14:paraId="1A010204" w14:textId="77777777" w:rsidR="003E44E2" w:rsidRDefault="003E44E2" w:rsidP="003E44E2"/>
    <w:p w14:paraId="5DC007BA" w14:textId="77777777" w:rsidR="00B84C8D" w:rsidRDefault="00B84C8D" w:rsidP="003E44E2"/>
    <w:p w14:paraId="2FD8DA5E" w14:textId="111BEF08" w:rsidR="007621AE" w:rsidRPr="00995E35" w:rsidRDefault="007621AE" w:rsidP="007621AE">
      <w:pPr>
        <w:pStyle w:val="Heading2"/>
        <w:rPr>
          <w:sz w:val="24"/>
          <w:szCs w:val="24"/>
        </w:rPr>
      </w:pPr>
      <w:r w:rsidRPr="00995E35">
        <w:rPr>
          <w:sz w:val="24"/>
          <w:szCs w:val="24"/>
        </w:rPr>
        <w:lastRenderedPageBreak/>
        <w:t>Supplier engagement objectives</w:t>
      </w:r>
      <w:r w:rsidRPr="00995E35">
        <w:rPr>
          <w:sz w:val="24"/>
          <w:szCs w:val="24"/>
        </w:rPr>
        <w:tab/>
      </w:r>
    </w:p>
    <w:p w14:paraId="192710DC" w14:textId="77777777" w:rsidR="007621AE" w:rsidRPr="007621AE" w:rsidRDefault="007621AE" w:rsidP="007621AE">
      <w:r w:rsidRPr="007621AE">
        <w:t>The Gordon’s objectives are to:</w:t>
      </w:r>
    </w:p>
    <w:p w14:paraId="0ABE99E6" w14:textId="77777777" w:rsidR="007621AE" w:rsidRPr="007621AE" w:rsidRDefault="007621AE" w:rsidP="007621AE">
      <w:pPr>
        <w:numPr>
          <w:ilvl w:val="0"/>
          <w:numId w:val="7"/>
        </w:numPr>
      </w:pPr>
      <w:r w:rsidRPr="007621AE">
        <w:t>Improve transparency of procurement activities and decision-making</w:t>
      </w:r>
    </w:p>
    <w:p w14:paraId="4D22B517" w14:textId="77777777" w:rsidR="007621AE" w:rsidRPr="007621AE" w:rsidRDefault="007621AE" w:rsidP="007621AE">
      <w:pPr>
        <w:numPr>
          <w:ilvl w:val="0"/>
          <w:numId w:val="7"/>
        </w:numPr>
      </w:pPr>
      <w:r w:rsidRPr="007621AE">
        <w:t>Provide clear, accessible information on procurement processes and requirements</w:t>
      </w:r>
    </w:p>
    <w:p w14:paraId="478A1776" w14:textId="77777777" w:rsidR="007621AE" w:rsidRPr="007621AE" w:rsidRDefault="007621AE" w:rsidP="007621AE">
      <w:pPr>
        <w:numPr>
          <w:ilvl w:val="0"/>
          <w:numId w:val="7"/>
        </w:numPr>
      </w:pPr>
      <w:r w:rsidRPr="007621AE">
        <w:t>Support participation of SMEs, social enterprises and local suppliers</w:t>
      </w:r>
    </w:p>
    <w:p w14:paraId="17B2D71F" w14:textId="77777777" w:rsidR="007621AE" w:rsidRPr="007621AE" w:rsidRDefault="007621AE" w:rsidP="007621AE">
      <w:pPr>
        <w:numPr>
          <w:ilvl w:val="0"/>
          <w:numId w:val="7"/>
        </w:numPr>
      </w:pPr>
      <w:r w:rsidRPr="007621AE">
        <w:t>Encourage innovation and market-led solutions in service delivery</w:t>
      </w:r>
    </w:p>
    <w:p w14:paraId="42F37E27" w14:textId="77777777" w:rsidR="007621AE" w:rsidRPr="007621AE" w:rsidRDefault="007621AE" w:rsidP="007621AE">
      <w:pPr>
        <w:numPr>
          <w:ilvl w:val="0"/>
          <w:numId w:val="7"/>
        </w:numPr>
      </w:pPr>
      <w:r w:rsidRPr="007621AE">
        <w:t>Strengthen supplier relationships to drive performance and continuous improvement</w:t>
      </w:r>
    </w:p>
    <w:p w14:paraId="123B795C" w14:textId="77777777" w:rsidR="007621AE" w:rsidRPr="007621AE" w:rsidRDefault="007621AE" w:rsidP="007621AE">
      <w:pPr>
        <w:numPr>
          <w:ilvl w:val="0"/>
          <w:numId w:val="7"/>
        </w:numPr>
      </w:pPr>
      <w:r w:rsidRPr="007621AE">
        <w:t>Achieve value for money while maintaining compliance with VGPB and Standing Directions</w:t>
      </w:r>
    </w:p>
    <w:p w14:paraId="0EAB7413" w14:textId="77777777" w:rsidR="007621AE" w:rsidRPr="007621AE" w:rsidRDefault="007621AE" w:rsidP="007621AE">
      <w:pPr>
        <w:numPr>
          <w:ilvl w:val="0"/>
          <w:numId w:val="7"/>
        </w:numPr>
      </w:pPr>
      <w:r w:rsidRPr="007621AE">
        <w:t>Ensure all engagement upholds probity, confidentiality and ethical standards</w:t>
      </w:r>
    </w:p>
    <w:p w14:paraId="7A371A69" w14:textId="77777777" w:rsidR="003E44E2" w:rsidRDefault="003E44E2" w:rsidP="003E44E2"/>
    <w:p w14:paraId="1CE6BF18" w14:textId="5114E533" w:rsidR="008D2879" w:rsidRPr="00995E35" w:rsidRDefault="008D2879" w:rsidP="008D2879">
      <w:pPr>
        <w:pStyle w:val="Heading2"/>
        <w:rPr>
          <w:sz w:val="24"/>
          <w:szCs w:val="24"/>
        </w:rPr>
      </w:pPr>
      <w:r w:rsidRPr="00995E35">
        <w:rPr>
          <w:sz w:val="24"/>
          <w:szCs w:val="24"/>
        </w:rPr>
        <w:t>The Gordon’s expectations of suppliers</w:t>
      </w:r>
    </w:p>
    <w:p w14:paraId="1638023C" w14:textId="77777777" w:rsidR="008D2879" w:rsidRPr="008D2879" w:rsidRDefault="008D2879" w:rsidP="008D2879">
      <w:r w:rsidRPr="008D2879">
        <w:t>Suppliers engaged by The Gordon are expected to:</w:t>
      </w:r>
    </w:p>
    <w:p w14:paraId="7DBA87BE" w14:textId="77777777" w:rsidR="008D2879" w:rsidRPr="008D2879" w:rsidRDefault="008D2879" w:rsidP="008D2879">
      <w:pPr>
        <w:numPr>
          <w:ilvl w:val="0"/>
          <w:numId w:val="8"/>
        </w:numPr>
      </w:pPr>
      <w:r w:rsidRPr="008D2879">
        <w:t>Conduct business in an open, fair and transparent manner</w:t>
      </w:r>
    </w:p>
    <w:p w14:paraId="77F67CF4" w14:textId="77777777" w:rsidR="008D2879" w:rsidRPr="008D2879" w:rsidRDefault="008D2879" w:rsidP="008D2879">
      <w:pPr>
        <w:numPr>
          <w:ilvl w:val="0"/>
          <w:numId w:val="8"/>
        </w:numPr>
      </w:pPr>
      <w:r w:rsidRPr="008D2879">
        <w:t xml:space="preserve">Comply with the Victorian Government </w:t>
      </w:r>
      <w:r w:rsidRPr="008D2879">
        <w:rPr>
          <w:b/>
          <w:bCs/>
        </w:rPr>
        <w:t>Supplier Code of Conduct</w:t>
      </w:r>
    </w:p>
    <w:p w14:paraId="4624A370" w14:textId="77777777" w:rsidR="008D2879" w:rsidRPr="008D2879" w:rsidRDefault="008D2879" w:rsidP="008D2879">
      <w:pPr>
        <w:numPr>
          <w:ilvl w:val="0"/>
          <w:numId w:val="8"/>
        </w:numPr>
      </w:pPr>
      <w:r w:rsidRPr="008D2879">
        <w:t>Demonstrate ethical practices, including integrity, accountability and environmental responsibility</w:t>
      </w:r>
    </w:p>
    <w:p w14:paraId="069ED0D7" w14:textId="77777777" w:rsidR="008D2879" w:rsidRPr="008D2879" w:rsidRDefault="008D2879" w:rsidP="008D2879">
      <w:pPr>
        <w:numPr>
          <w:ilvl w:val="0"/>
          <w:numId w:val="8"/>
        </w:numPr>
      </w:pPr>
      <w:r w:rsidRPr="008D2879">
        <w:t>Provide end-to-end service delivery and support across the contract lifecycle</w:t>
      </w:r>
    </w:p>
    <w:p w14:paraId="15BE70B8" w14:textId="77777777" w:rsidR="008D2879" w:rsidRPr="008D2879" w:rsidRDefault="008D2879" w:rsidP="008D2879">
      <w:pPr>
        <w:numPr>
          <w:ilvl w:val="0"/>
          <w:numId w:val="8"/>
        </w:numPr>
      </w:pPr>
      <w:r w:rsidRPr="008D2879">
        <w:t>Meet all contractual and regulatory requirements, including reporting and performance obligations</w:t>
      </w:r>
    </w:p>
    <w:p w14:paraId="2E0A2235" w14:textId="77777777" w:rsidR="003E44E2" w:rsidRDefault="003E44E2" w:rsidP="003E44E2"/>
    <w:p w14:paraId="6C9A07C0" w14:textId="5195D449" w:rsidR="008D2879" w:rsidRDefault="008D2879" w:rsidP="008D2879">
      <w:pPr>
        <w:pStyle w:val="Heading2"/>
      </w:pPr>
      <w:r>
        <w:t>Inform</w:t>
      </w:r>
      <w:r w:rsidR="00995E35">
        <w:t>ing</w:t>
      </w:r>
      <w:r>
        <w:t xml:space="preserve"> Suppliers of Opportunities</w:t>
      </w:r>
      <w:r>
        <w:tab/>
      </w:r>
    </w:p>
    <w:p w14:paraId="317AAD73" w14:textId="77777777" w:rsidR="003E44E2" w:rsidRPr="00995E35" w:rsidRDefault="003E44E2" w:rsidP="003E44E2">
      <w:pPr>
        <w:pStyle w:val="Heading2"/>
        <w:rPr>
          <w:sz w:val="24"/>
          <w:szCs w:val="24"/>
        </w:rPr>
      </w:pPr>
      <w:r w:rsidRPr="00995E35">
        <w:rPr>
          <w:sz w:val="24"/>
          <w:szCs w:val="24"/>
        </w:rPr>
        <w:t>Forward Procurement Activity Plan </w:t>
      </w:r>
    </w:p>
    <w:p w14:paraId="4A5CCFBF" w14:textId="33CEA09D" w:rsidR="003E44E2" w:rsidRDefault="003E44E2" w:rsidP="003E44E2">
      <w:r>
        <w:t>The Gordon</w:t>
      </w:r>
      <w:r w:rsidRPr="003E44E2">
        <w:t xml:space="preserve">’s Forward Procurement Activity Plan (Activity Plan) outlines information pertaining to </w:t>
      </w:r>
      <w:r>
        <w:t>The Gordon</w:t>
      </w:r>
      <w:r w:rsidRPr="003E44E2">
        <w:t xml:space="preserve">’s proposed procurement activity over a 12-to-24-month period, ultimately providing suppliers with an overview of what </w:t>
      </w:r>
      <w:r>
        <w:t>The Gordon</w:t>
      </w:r>
      <w:r w:rsidRPr="003E44E2">
        <w:t xml:space="preserve"> is planning to purchase. </w:t>
      </w:r>
      <w:r w:rsidRPr="003E44E2">
        <w:br/>
      </w:r>
      <w:r w:rsidRPr="003E44E2">
        <w:br/>
      </w:r>
      <w:r w:rsidRPr="0079099A">
        <w:t>The Gordon’s current Forward Procurement Activity Plan can be viewed via </w:t>
      </w:r>
      <w:hyperlink r:id="rId9" w:history="1">
        <w:r w:rsidR="0079099A">
          <w:rPr>
            <w:rStyle w:val="Hyperlink"/>
          </w:rPr>
          <w:t>The Gordon Procurement Activity Plan</w:t>
        </w:r>
      </w:hyperlink>
      <w:r w:rsidR="0079099A" w:rsidRPr="00F6027D">
        <w:t xml:space="preserve">.  </w:t>
      </w:r>
      <w:r w:rsidR="00F6027D">
        <w:t xml:space="preserve"> </w:t>
      </w:r>
      <w:r w:rsidRPr="003E44E2">
        <w:t>Please note that the procurement activities proposed within the Activity Plan are subject to change, as applicable. The information contained within the Activity Plan does not represent a solicitation or constitute a request for proposal, nor is it a commitment to purchase the prescribed goods or services. </w:t>
      </w:r>
    </w:p>
    <w:p w14:paraId="3FC9B93B" w14:textId="77777777" w:rsidR="007621AE" w:rsidRPr="003E44E2" w:rsidRDefault="007621AE" w:rsidP="003E44E2"/>
    <w:p w14:paraId="659AAA5A" w14:textId="77777777" w:rsidR="003E44E2" w:rsidRPr="003E44E2" w:rsidRDefault="003E44E2" w:rsidP="007621AE">
      <w:pPr>
        <w:pStyle w:val="Heading2"/>
      </w:pPr>
      <w:r w:rsidRPr="003E44E2">
        <w:t>Supplier Code of Conduct </w:t>
      </w:r>
    </w:p>
    <w:p w14:paraId="798621F9" w14:textId="5526AB81" w:rsidR="003E44E2" w:rsidRPr="003E44E2" w:rsidRDefault="003E44E2" w:rsidP="003E44E2">
      <w:r w:rsidRPr="00995E35">
        <w:t xml:space="preserve">All suppliers engaged by The Gordon are required to comply with the Victorian Government Supplier Code of Conduct, and </w:t>
      </w:r>
      <w:r w:rsidR="00995E35" w:rsidRPr="00995E35">
        <w:t>The Gordon’s</w:t>
      </w:r>
      <w:r w:rsidRPr="00995E35">
        <w:t> </w:t>
      </w:r>
      <w:hyperlink r:id="rId10" w:history="1">
        <w:r w:rsidR="00995E35">
          <w:rPr>
            <w:rStyle w:val="Hyperlink"/>
          </w:rPr>
          <w:t>Student Safety Commitment</w:t>
        </w:r>
      </w:hyperlink>
      <w:r w:rsidR="00995E35">
        <w:rPr>
          <w:color w:val="EE0000"/>
        </w:rPr>
        <w:t xml:space="preserve">  </w:t>
      </w:r>
      <w:r w:rsidRPr="007621AE">
        <w:rPr>
          <w:color w:val="EE0000"/>
        </w:rPr>
        <w:t> </w:t>
      </w:r>
      <w:r w:rsidRPr="007621AE">
        <w:rPr>
          <w:color w:val="EE0000"/>
        </w:rPr>
        <w:br/>
      </w:r>
      <w:r w:rsidRPr="003E44E2">
        <w:br/>
        <w:t xml:space="preserve">The Code outlines the minimum ethical standards </w:t>
      </w:r>
      <w:r w:rsidR="00995E35" w:rsidRPr="003E44E2">
        <w:t xml:space="preserve">in </w:t>
      </w:r>
      <w:r w:rsidR="00995E35">
        <w:t>behaviours</w:t>
      </w:r>
      <w:r w:rsidRPr="003E44E2">
        <w:t xml:space="preserve"> that suppliers will aspire to meet when conducting business with, or on behalf of the State, in the areas of:</w:t>
      </w:r>
    </w:p>
    <w:p w14:paraId="29D24126" w14:textId="77777777" w:rsidR="003E44E2" w:rsidRPr="003E44E2" w:rsidRDefault="003E44E2" w:rsidP="003E44E2">
      <w:pPr>
        <w:numPr>
          <w:ilvl w:val="0"/>
          <w:numId w:val="4"/>
        </w:numPr>
      </w:pPr>
      <w:r w:rsidRPr="003E44E2">
        <w:t>Integrity, ethics and conduct</w:t>
      </w:r>
    </w:p>
    <w:p w14:paraId="021A13AB" w14:textId="77777777" w:rsidR="003E44E2" w:rsidRPr="003E44E2" w:rsidRDefault="003E44E2" w:rsidP="003E44E2">
      <w:pPr>
        <w:numPr>
          <w:ilvl w:val="0"/>
          <w:numId w:val="4"/>
        </w:numPr>
      </w:pPr>
      <w:r w:rsidRPr="003E44E2">
        <w:t>Conflict of interest, gifts, benefits and hospitality </w:t>
      </w:r>
    </w:p>
    <w:p w14:paraId="3D7137D3" w14:textId="77777777" w:rsidR="003E44E2" w:rsidRPr="003E44E2" w:rsidRDefault="003E44E2" w:rsidP="003E44E2">
      <w:pPr>
        <w:numPr>
          <w:ilvl w:val="0"/>
          <w:numId w:val="4"/>
        </w:numPr>
      </w:pPr>
      <w:r w:rsidRPr="003E44E2">
        <w:t>Corporate governance </w:t>
      </w:r>
    </w:p>
    <w:p w14:paraId="3B77760B" w14:textId="77777777" w:rsidR="003E44E2" w:rsidRPr="003E44E2" w:rsidRDefault="003E44E2" w:rsidP="003E44E2">
      <w:pPr>
        <w:numPr>
          <w:ilvl w:val="0"/>
          <w:numId w:val="4"/>
        </w:numPr>
      </w:pPr>
      <w:r w:rsidRPr="003E44E2">
        <w:t>Labour and human rights</w:t>
      </w:r>
    </w:p>
    <w:p w14:paraId="70F84D0C" w14:textId="77777777" w:rsidR="003E44E2" w:rsidRPr="003E44E2" w:rsidRDefault="003E44E2" w:rsidP="003E44E2">
      <w:pPr>
        <w:numPr>
          <w:ilvl w:val="0"/>
          <w:numId w:val="4"/>
        </w:numPr>
      </w:pPr>
      <w:r w:rsidRPr="003E44E2">
        <w:t>Health and safety </w:t>
      </w:r>
    </w:p>
    <w:p w14:paraId="00B0C963" w14:textId="77777777" w:rsidR="003E44E2" w:rsidRPr="003E44E2" w:rsidRDefault="003E44E2" w:rsidP="003E44E2">
      <w:pPr>
        <w:numPr>
          <w:ilvl w:val="0"/>
          <w:numId w:val="4"/>
        </w:numPr>
      </w:pPr>
      <w:r w:rsidRPr="003E44E2">
        <w:t>Environmental management</w:t>
      </w:r>
    </w:p>
    <w:p w14:paraId="192A908B" w14:textId="77777777" w:rsidR="003E44E2" w:rsidRPr="003E44E2" w:rsidRDefault="003E44E2" w:rsidP="003E44E2">
      <w:r w:rsidRPr="003E44E2">
        <w:br/>
        <w:t>For information on the Victorian Government Supplier Code of Conduct visit, </w:t>
      </w:r>
      <w:hyperlink r:id="rId11" w:history="1">
        <w:r w:rsidRPr="003E44E2">
          <w:rPr>
            <w:rStyle w:val="Hyperlink"/>
          </w:rPr>
          <w:t>Supplier Code of Conduct.</w:t>
        </w:r>
      </w:hyperlink>
      <w:r w:rsidRPr="003E44E2">
        <w:br/>
        <w:t> </w:t>
      </w:r>
    </w:p>
    <w:p w14:paraId="10F7D31B" w14:textId="77777777" w:rsidR="003E44E2" w:rsidRPr="003E44E2" w:rsidRDefault="003E44E2" w:rsidP="007621AE">
      <w:pPr>
        <w:pStyle w:val="Heading2"/>
      </w:pPr>
      <w:r w:rsidRPr="003E44E2">
        <w:lastRenderedPageBreak/>
        <w:t>Purchase Orders </w:t>
      </w:r>
    </w:p>
    <w:p w14:paraId="5E4E60B0" w14:textId="77777777" w:rsidR="004362CC" w:rsidRDefault="003E44E2" w:rsidP="003E44E2">
      <w:r>
        <w:t>The Gordon</w:t>
      </w:r>
      <w:r w:rsidRPr="003E44E2">
        <w:t xml:space="preserve"> terms and conditions for the supply of goods, and for the provision of services are included via link with all purchase orders issued by </w:t>
      </w:r>
      <w:r>
        <w:t>The Gordon</w:t>
      </w:r>
      <w:r w:rsidRPr="003E44E2">
        <w:t>. </w:t>
      </w:r>
    </w:p>
    <w:p w14:paraId="0E6A710A" w14:textId="6A97D835" w:rsidR="003E44E2" w:rsidRPr="003E44E2" w:rsidRDefault="003E44E2" w:rsidP="003E44E2">
      <w:r w:rsidRPr="003E44E2">
        <w:br/>
      </w:r>
      <w:hyperlink r:id="rId12" w:history="1">
        <w:r w:rsidRPr="003E44E2">
          <w:rPr>
            <w:rStyle w:val="Hyperlink"/>
          </w:rPr>
          <w:t>Terms and Conditions for Supply of Goods</w:t>
        </w:r>
      </w:hyperlink>
      <w:r w:rsidRPr="003E44E2">
        <w:t> and </w:t>
      </w:r>
      <w:hyperlink r:id="rId13" w:history="1">
        <w:r w:rsidRPr="003E44E2">
          <w:rPr>
            <w:rStyle w:val="Hyperlink"/>
          </w:rPr>
          <w:t>Terms and Conditions for Provision of Services.</w:t>
        </w:r>
      </w:hyperlink>
      <w:r w:rsidRPr="003E44E2">
        <w:br/>
        <w:t> </w:t>
      </w:r>
      <w:r w:rsidRPr="003E44E2">
        <w:br/>
        <w:t xml:space="preserve">These terms and conditions apply to the purchase of all goods and services by </w:t>
      </w:r>
      <w:r>
        <w:t>The Gordon</w:t>
      </w:r>
      <w:r w:rsidRPr="003E44E2">
        <w:t xml:space="preserve"> where there:</w:t>
      </w:r>
    </w:p>
    <w:p w14:paraId="247F4DA3" w14:textId="646163C5" w:rsidR="003E44E2" w:rsidRPr="003E44E2" w:rsidRDefault="003E44E2" w:rsidP="003E44E2">
      <w:pPr>
        <w:numPr>
          <w:ilvl w:val="0"/>
          <w:numId w:val="5"/>
        </w:numPr>
      </w:pPr>
      <w:r w:rsidRPr="003E44E2">
        <w:t xml:space="preserve">Is no formal contract arrangement between </w:t>
      </w:r>
      <w:r>
        <w:t>The Gordon</w:t>
      </w:r>
      <w:r w:rsidRPr="003E44E2">
        <w:t xml:space="preserve"> and the Supplier</w:t>
      </w:r>
    </w:p>
    <w:p w14:paraId="42D21C80" w14:textId="59BDC7B5" w:rsidR="003E44E2" w:rsidRPr="003E44E2" w:rsidRDefault="003E44E2" w:rsidP="003E44E2">
      <w:pPr>
        <w:numPr>
          <w:ilvl w:val="0"/>
          <w:numId w:val="5"/>
        </w:numPr>
      </w:pPr>
      <w:r w:rsidRPr="003E44E2">
        <w:t xml:space="preserve">The goods and services are purchased by </w:t>
      </w:r>
      <w:r>
        <w:t>The Gordon</w:t>
      </w:r>
      <w:r w:rsidRPr="003E44E2">
        <w:t xml:space="preserve"> using a SPC or Register</w:t>
      </w:r>
    </w:p>
    <w:p w14:paraId="22FB2816" w14:textId="3B2D4E04" w:rsidR="003E44E2" w:rsidRPr="003E44E2" w:rsidRDefault="003E44E2" w:rsidP="003E44E2">
      <w:r w:rsidRPr="003E44E2">
        <w:br/>
        <w:t xml:space="preserve">Goods, services or works should never be initiated without an approved </w:t>
      </w:r>
      <w:r>
        <w:t>Gordon</w:t>
      </w:r>
      <w:r w:rsidRPr="003E44E2">
        <w:t xml:space="preserve"> Purchase Order. </w:t>
      </w:r>
      <w:r w:rsidRPr="003E44E2">
        <w:br/>
      </w:r>
      <w:r w:rsidRPr="003E44E2">
        <w:br/>
        <w:t>To ensure prompt payment, all invoices are to be issued to </w:t>
      </w:r>
      <w:hyperlink r:id="rId14" w:history="1">
        <w:r w:rsidR="00995E35" w:rsidRPr="00E91A8C">
          <w:rPr>
            <w:rStyle w:val="Hyperlink"/>
          </w:rPr>
          <w:t>payables@gordontafe.edu.au</w:t>
        </w:r>
      </w:hyperlink>
      <w:r w:rsidR="00995E35">
        <w:t xml:space="preserve"> </w:t>
      </w:r>
      <w:r w:rsidRPr="003E44E2">
        <w:t> with the purchase order number referenced.</w:t>
      </w:r>
    </w:p>
    <w:p w14:paraId="7152FF3F" w14:textId="77777777" w:rsidR="003E44E2" w:rsidRDefault="003E44E2" w:rsidP="004837EE"/>
    <w:p w14:paraId="2300CAD6" w14:textId="77777777" w:rsidR="008D2879" w:rsidRDefault="008D2879" w:rsidP="004837EE"/>
    <w:p w14:paraId="312625F9" w14:textId="77777777" w:rsidR="008D2879" w:rsidRPr="008D2879" w:rsidRDefault="008D2879" w:rsidP="008D2879">
      <w:pPr>
        <w:pStyle w:val="Heading2"/>
      </w:pPr>
      <w:r w:rsidRPr="008D2879">
        <w:t>Our contract activities</w:t>
      </w:r>
    </w:p>
    <w:p w14:paraId="1F8B8665" w14:textId="20A34098" w:rsidR="008D2879" w:rsidRPr="008D2879" w:rsidRDefault="008D2879" w:rsidP="008D2879">
      <w:r>
        <w:t>The Gordon</w:t>
      </w:r>
      <w:r w:rsidRPr="008D2879">
        <w:t>’s contracts are disclosed on </w:t>
      </w:r>
      <w:hyperlink r:id="rId15" w:tgtFrame="_blank" w:history="1">
        <w:r w:rsidRPr="008D2879">
          <w:rPr>
            <w:rStyle w:val="Hyperlink"/>
          </w:rPr>
          <w:t>Buying for Victoria – Tenders.</w:t>
        </w:r>
      </w:hyperlink>
    </w:p>
    <w:p w14:paraId="669E5AE3" w14:textId="77777777" w:rsidR="00E44EC4" w:rsidRDefault="00E44EC4" w:rsidP="008D2879"/>
    <w:p w14:paraId="4E176B59" w14:textId="570D9A48" w:rsidR="00F6027D" w:rsidRDefault="00F6027D" w:rsidP="00F6027D">
      <w:r>
        <w:t>For all upcoming opportunities The</w:t>
      </w:r>
      <w:r w:rsidRPr="0079099A">
        <w:t xml:space="preserve"> Gordon’s current Forward Procurement Activity Plan can be viewed via </w:t>
      </w:r>
      <w:hyperlink r:id="rId16" w:history="1">
        <w:r>
          <w:rPr>
            <w:rStyle w:val="Hyperlink"/>
          </w:rPr>
          <w:t>The Gordon Procurement Activity Plan</w:t>
        </w:r>
      </w:hyperlink>
      <w:r w:rsidRPr="00F6027D">
        <w:t xml:space="preserve">.  </w:t>
      </w:r>
      <w:r>
        <w:t xml:space="preserve"> </w:t>
      </w:r>
    </w:p>
    <w:p w14:paraId="7643D785" w14:textId="77777777" w:rsidR="00F6027D" w:rsidRDefault="00F6027D" w:rsidP="008D2879"/>
    <w:p w14:paraId="46AF885D" w14:textId="262A4E37" w:rsidR="008D2879" w:rsidRPr="008D2879" w:rsidRDefault="008D2879" w:rsidP="008D2879">
      <w:r w:rsidRPr="008D2879">
        <w:t>Our contracts with a total estimated value equal to or exceeding $</w:t>
      </w:r>
      <w:r w:rsidR="00F6027D">
        <w:t>2</w:t>
      </w:r>
      <w:r w:rsidRPr="008D2879">
        <w:t>00,000 (</w:t>
      </w:r>
      <w:r w:rsidR="00F6027D">
        <w:t>ex</w:t>
      </w:r>
      <w:r w:rsidRPr="008D2879">
        <w:t xml:space="preserve">cluding GST) </w:t>
      </w:r>
      <w:r w:rsidR="00F6027D">
        <w:t xml:space="preserve">will be required to go to tender.  This does not apply where there is an existing SPC registered with Buying for Victoria or the VGPB. </w:t>
      </w:r>
    </w:p>
    <w:p w14:paraId="11CB4726" w14:textId="77777777" w:rsidR="00E44EC4" w:rsidRDefault="00E44EC4" w:rsidP="008D2879"/>
    <w:p w14:paraId="67AD71A0" w14:textId="77777777" w:rsidR="008D2879" w:rsidRDefault="008D2879" w:rsidP="004837EE"/>
    <w:p w14:paraId="522F9E9B" w14:textId="77777777" w:rsidR="008D2879" w:rsidRDefault="008D2879" w:rsidP="004837EE"/>
    <w:p w14:paraId="632635DD" w14:textId="77777777" w:rsidR="008D2879" w:rsidRPr="004837EE" w:rsidRDefault="008D2879" w:rsidP="004837EE"/>
    <w:sectPr w:rsidR="008D2879" w:rsidRPr="004837EE" w:rsidSect="0048356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F5C8" w14:textId="77777777" w:rsidR="00E520B2" w:rsidRDefault="00E520B2" w:rsidP="00855C9F">
      <w:r>
        <w:separator/>
      </w:r>
    </w:p>
  </w:endnote>
  <w:endnote w:type="continuationSeparator" w:id="0">
    <w:p w14:paraId="250B7EA1" w14:textId="77777777" w:rsidR="00E520B2" w:rsidRDefault="00E520B2" w:rsidP="0085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3DD7" w14:textId="758A5966" w:rsidR="003E44E2" w:rsidRDefault="003E44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94896D" wp14:editId="0D2EBE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5010" cy="405130"/>
              <wp:effectExtent l="0" t="0" r="8890" b="0"/>
              <wp:wrapNone/>
              <wp:docPr id="5512065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010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5346A" w14:textId="56388047" w:rsidR="003E44E2" w:rsidRPr="003E44E2" w:rsidRDefault="003E44E2" w:rsidP="003E44E2">
                          <w:pPr>
                            <w:spacing w:after="0"/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E44E2"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489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6.3pt;height:31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985346A" w14:textId="56388047" w:rsidR="003E44E2" w:rsidRPr="003E44E2" w:rsidRDefault="003E44E2" w:rsidP="003E44E2">
                    <w:pPr>
                      <w:spacing w:after="0"/>
                      <w:rPr>
                        <w:rFonts w:ascii="Arial Rounded MT Bold" w:eastAsia="Arial Rounded MT Bold" w:hAnsi="Arial Rounded MT Bold" w:cs="Arial Rounded MT Bold"/>
                        <w:noProof/>
                        <w:color w:val="000000"/>
                        <w:sz w:val="24"/>
                        <w:szCs w:val="24"/>
                      </w:rPr>
                    </w:pPr>
                    <w:r w:rsidRPr="003E44E2">
                      <w:rPr>
                        <w:rFonts w:ascii="Arial Rounded MT Bold" w:eastAsia="Arial Rounded MT Bold" w:hAnsi="Arial Rounded MT Bold" w:cs="Arial Rounded MT Bold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ECBD" w14:textId="399382ED" w:rsidR="003E44E2" w:rsidRDefault="003E44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B129CA8" wp14:editId="71FC3975">
              <wp:simplePos x="914400" y="1002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5010" cy="405130"/>
              <wp:effectExtent l="0" t="0" r="8890" b="0"/>
              <wp:wrapNone/>
              <wp:docPr id="131961175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010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84FEF" w14:textId="0B7F53C7" w:rsidR="003E44E2" w:rsidRPr="003E44E2" w:rsidRDefault="003E44E2" w:rsidP="003E44E2">
                          <w:pPr>
                            <w:spacing w:after="0"/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E44E2"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29C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6.3pt;height:31.9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ED84FEF" w14:textId="0B7F53C7" w:rsidR="003E44E2" w:rsidRPr="003E44E2" w:rsidRDefault="003E44E2" w:rsidP="003E44E2">
                    <w:pPr>
                      <w:spacing w:after="0"/>
                      <w:rPr>
                        <w:rFonts w:ascii="Arial Rounded MT Bold" w:eastAsia="Arial Rounded MT Bold" w:hAnsi="Arial Rounded MT Bold" w:cs="Arial Rounded MT Bold"/>
                        <w:noProof/>
                        <w:color w:val="000000"/>
                        <w:sz w:val="24"/>
                        <w:szCs w:val="24"/>
                      </w:rPr>
                    </w:pPr>
                    <w:r w:rsidRPr="003E44E2">
                      <w:rPr>
                        <w:rFonts w:ascii="Arial Rounded MT Bold" w:eastAsia="Arial Rounded MT Bold" w:hAnsi="Arial Rounded MT Bold" w:cs="Arial Rounded MT Bold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4113" w14:textId="0D67AAE5" w:rsidR="003E44E2" w:rsidRDefault="003E44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13D32E" wp14:editId="145B28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5010" cy="405130"/>
              <wp:effectExtent l="0" t="0" r="8890" b="0"/>
              <wp:wrapNone/>
              <wp:docPr id="22733115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010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F06CE" w14:textId="1834CBEE" w:rsidR="003E44E2" w:rsidRPr="003E44E2" w:rsidRDefault="003E44E2" w:rsidP="003E44E2">
                          <w:pPr>
                            <w:spacing w:after="0"/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E44E2"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3D3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6.3pt;height:31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47F06CE" w14:textId="1834CBEE" w:rsidR="003E44E2" w:rsidRPr="003E44E2" w:rsidRDefault="003E44E2" w:rsidP="003E44E2">
                    <w:pPr>
                      <w:spacing w:after="0"/>
                      <w:rPr>
                        <w:rFonts w:ascii="Arial Rounded MT Bold" w:eastAsia="Arial Rounded MT Bold" w:hAnsi="Arial Rounded MT Bold" w:cs="Arial Rounded MT Bold"/>
                        <w:noProof/>
                        <w:color w:val="000000"/>
                        <w:sz w:val="24"/>
                        <w:szCs w:val="24"/>
                      </w:rPr>
                    </w:pPr>
                    <w:r w:rsidRPr="003E44E2">
                      <w:rPr>
                        <w:rFonts w:ascii="Arial Rounded MT Bold" w:eastAsia="Arial Rounded MT Bold" w:hAnsi="Arial Rounded MT Bold" w:cs="Arial Rounded MT Bold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0A0E" w14:textId="77777777" w:rsidR="00E520B2" w:rsidRDefault="00E520B2" w:rsidP="00855C9F">
      <w:r>
        <w:separator/>
      </w:r>
    </w:p>
  </w:footnote>
  <w:footnote w:type="continuationSeparator" w:id="0">
    <w:p w14:paraId="6DA87B14" w14:textId="77777777" w:rsidR="00E520B2" w:rsidRDefault="00E520B2" w:rsidP="0085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47C4" w14:textId="05D6943D" w:rsidR="003E44E2" w:rsidRDefault="003E44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019D70" wp14:editId="32A311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15010" cy="405130"/>
              <wp:effectExtent l="0" t="0" r="8890" b="13970"/>
              <wp:wrapNone/>
              <wp:docPr id="263829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010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D22A7" w14:textId="483724A1" w:rsidR="003E44E2" w:rsidRPr="003E44E2" w:rsidRDefault="003E44E2" w:rsidP="003E44E2">
                          <w:pPr>
                            <w:spacing w:after="0"/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E44E2"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19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3pt;height:31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64D22A7" w14:textId="483724A1" w:rsidR="003E44E2" w:rsidRPr="003E44E2" w:rsidRDefault="003E44E2" w:rsidP="003E44E2">
                    <w:pPr>
                      <w:spacing w:after="0"/>
                      <w:rPr>
                        <w:rFonts w:ascii="Arial Rounded MT Bold" w:eastAsia="Arial Rounded MT Bold" w:hAnsi="Arial Rounded MT Bold" w:cs="Arial Rounded MT Bold"/>
                        <w:noProof/>
                        <w:color w:val="000000"/>
                        <w:sz w:val="24"/>
                        <w:szCs w:val="24"/>
                      </w:rPr>
                    </w:pPr>
                    <w:r w:rsidRPr="003E44E2">
                      <w:rPr>
                        <w:rFonts w:ascii="Arial Rounded MT Bold" w:eastAsia="Arial Rounded MT Bold" w:hAnsi="Arial Rounded MT Bold" w:cs="Arial Rounded MT Bold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0AD3" w14:textId="2EF5BD2E" w:rsidR="003E44E2" w:rsidRDefault="003E44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676CCC" wp14:editId="6A8FC19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15010" cy="405130"/>
              <wp:effectExtent l="0" t="0" r="8890" b="13970"/>
              <wp:wrapNone/>
              <wp:docPr id="17265463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010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D578D" w14:textId="338477CB" w:rsidR="003E44E2" w:rsidRPr="003E44E2" w:rsidRDefault="003E44E2" w:rsidP="003E44E2">
                          <w:pPr>
                            <w:spacing w:after="0"/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E44E2"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76C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3pt;height:31.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12D578D" w14:textId="338477CB" w:rsidR="003E44E2" w:rsidRPr="003E44E2" w:rsidRDefault="003E44E2" w:rsidP="003E44E2">
                    <w:pPr>
                      <w:spacing w:after="0"/>
                      <w:rPr>
                        <w:rFonts w:ascii="Arial Rounded MT Bold" w:eastAsia="Arial Rounded MT Bold" w:hAnsi="Arial Rounded MT Bold" w:cs="Arial Rounded MT Bold"/>
                        <w:noProof/>
                        <w:color w:val="000000"/>
                        <w:sz w:val="24"/>
                        <w:szCs w:val="24"/>
                      </w:rPr>
                    </w:pPr>
                    <w:r w:rsidRPr="003E44E2">
                      <w:rPr>
                        <w:rFonts w:ascii="Arial Rounded MT Bold" w:eastAsia="Arial Rounded MT Bold" w:hAnsi="Arial Rounded MT Bold" w:cs="Arial Rounded MT Bold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87AB" w14:textId="064AB868" w:rsidR="003E44E2" w:rsidRDefault="003E44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91296C" wp14:editId="60B234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15010" cy="405130"/>
              <wp:effectExtent l="0" t="0" r="8890" b="13970"/>
              <wp:wrapNone/>
              <wp:docPr id="13210019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010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577DD" w14:textId="203420B2" w:rsidR="003E44E2" w:rsidRPr="003E44E2" w:rsidRDefault="003E44E2" w:rsidP="003E44E2">
                          <w:pPr>
                            <w:spacing w:after="0"/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E44E2"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129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6.3pt;height:31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AE577DD" w14:textId="203420B2" w:rsidR="003E44E2" w:rsidRPr="003E44E2" w:rsidRDefault="003E44E2" w:rsidP="003E44E2">
                    <w:pPr>
                      <w:spacing w:after="0"/>
                      <w:rPr>
                        <w:rFonts w:ascii="Arial Rounded MT Bold" w:eastAsia="Arial Rounded MT Bold" w:hAnsi="Arial Rounded MT Bold" w:cs="Arial Rounded MT Bold"/>
                        <w:noProof/>
                        <w:color w:val="000000"/>
                        <w:sz w:val="24"/>
                        <w:szCs w:val="24"/>
                      </w:rPr>
                    </w:pPr>
                    <w:r w:rsidRPr="003E44E2">
                      <w:rPr>
                        <w:rFonts w:ascii="Arial Rounded MT Bold" w:eastAsia="Arial Rounded MT Bold" w:hAnsi="Arial Rounded MT Bold" w:cs="Arial Rounded MT Bold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3FCC9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9244C"/>
    <w:multiLevelType w:val="multilevel"/>
    <w:tmpl w:val="879A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A571C"/>
    <w:multiLevelType w:val="multilevel"/>
    <w:tmpl w:val="1CA6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A78DD"/>
    <w:multiLevelType w:val="hybridMultilevel"/>
    <w:tmpl w:val="00949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4142E"/>
    <w:multiLevelType w:val="multilevel"/>
    <w:tmpl w:val="C420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E44A4"/>
    <w:multiLevelType w:val="multilevel"/>
    <w:tmpl w:val="F48A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722ED"/>
    <w:multiLevelType w:val="multilevel"/>
    <w:tmpl w:val="4AFE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22AFA"/>
    <w:multiLevelType w:val="multilevel"/>
    <w:tmpl w:val="E9EE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171719">
    <w:abstractNumId w:val="3"/>
  </w:num>
  <w:num w:numId="2" w16cid:durableId="1603998737">
    <w:abstractNumId w:val="0"/>
  </w:num>
  <w:num w:numId="3" w16cid:durableId="1863788291">
    <w:abstractNumId w:val="5"/>
  </w:num>
  <w:num w:numId="4" w16cid:durableId="680088259">
    <w:abstractNumId w:val="7"/>
  </w:num>
  <w:num w:numId="5" w16cid:durableId="1480460984">
    <w:abstractNumId w:val="6"/>
  </w:num>
  <w:num w:numId="6" w16cid:durableId="1492791948">
    <w:abstractNumId w:val="2"/>
  </w:num>
  <w:num w:numId="7" w16cid:durableId="1744110052">
    <w:abstractNumId w:val="1"/>
  </w:num>
  <w:num w:numId="8" w16cid:durableId="665667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E2"/>
    <w:rsid w:val="000175BD"/>
    <w:rsid w:val="00163DFC"/>
    <w:rsid w:val="001A6C2F"/>
    <w:rsid w:val="001B713B"/>
    <w:rsid w:val="00270B25"/>
    <w:rsid w:val="002E1ED8"/>
    <w:rsid w:val="003A0FF9"/>
    <w:rsid w:val="003E44E2"/>
    <w:rsid w:val="0041241D"/>
    <w:rsid w:val="004362CC"/>
    <w:rsid w:val="00483563"/>
    <w:rsid w:val="004837EE"/>
    <w:rsid w:val="004D1A51"/>
    <w:rsid w:val="0051231F"/>
    <w:rsid w:val="005B2C4A"/>
    <w:rsid w:val="00637DBB"/>
    <w:rsid w:val="00637F78"/>
    <w:rsid w:val="00682D68"/>
    <w:rsid w:val="00735F2E"/>
    <w:rsid w:val="00752C2A"/>
    <w:rsid w:val="007621AE"/>
    <w:rsid w:val="0079099A"/>
    <w:rsid w:val="00814F57"/>
    <w:rsid w:val="00826A9B"/>
    <w:rsid w:val="00841C53"/>
    <w:rsid w:val="00855C9F"/>
    <w:rsid w:val="008D2879"/>
    <w:rsid w:val="008F7A9F"/>
    <w:rsid w:val="0097458C"/>
    <w:rsid w:val="00995E35"/>
    <w:rsid w:val="009C214A"/>
    <w:rsid w:val="00AB5DC0"/>
    <w:rsid w:val="00B84C8D"/>
    <w:rsid w:val="00C85C03"/>
    <w:rsid w:val="00E44EC4"/>
    <w:rsid w:val="00E520B2"/>
    <w:rsid w:val="00E548F9"/>
    <w:rsid w:val="00F13BEF"/>
    <w:rsid w:val="00F23713"/>
    <w:rsid w:val="00F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B805"/>
  <w15:chartTrackingRefBased/>
  <w15:docId w15:val="{24D4DCEA-B14E-488E-A408-6DF84919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2F"/>
    <w:pPr>
      <w:spacing w:before="60" w:after="6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DC0"/>
    <w:pPr>
      <w:keepNext/>
      <w:keepLines/>
      <w:spacing w:after="120"/>
      <w:outlineLvl w:val="0"/>
    </w:pPr>
    <w:rPr>
      <w:rFonts w:eastAsiaTheme="majorEastAsia" w:cstheme="majorBidi"/>
      <w:b/>
      <w:bCs/>
      <w:color w:val="6384BD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DC0"/>
    <w:pPr>
      <w:keepNext/>
      <w:keepLines/>
      <w:spacing w:after="12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DC0"/>
    <w:pPr>
      <w:keepNext/>
      <w:keepLines/>
      <w:outlineLvl w:val="2"/>
    </w:pPr>
    <w:rPr>
      <w:rFonts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DC0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4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4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4E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4E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BE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B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5DC0"/>
    <w:rPr>
      <w:rFonts w:ascii="Arial" w:eastAsiaTheme="majorEastAsia" w:hAnsi="Arial" w:cstheme="majorBidi"/>
      <w:b/>
      <w:bCs/>
      <w:color w:val="6384BD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5DC0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5DC0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B5DC0"/>
    <w:rPr>
      <w:rFonts w:ascii="Arial" w:eastAsiaTheme="majorEastAsia" w:hAnsi="Arial" w:cstheme="majorBidi"/>
      <w:b/>
      <w:bCs/>
      <w:i/>
      <w:iCs/>
      <w:sz w:val="20"/>
    </w:rPr>
  </w:style>
  <w:style w:type="paragraph" w:styleId="NoSpacing">
    <w:name w:val="No Spacing"/>
    <w:uiPriority w:val="1"/>
    <w:qFormat/>
    <w:rsid w:val="00AB5DC0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B5DC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6384B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C0"/>
    <w:rPr>
      <w:rFonts w:ascii="Arial" w:eastAsiaTheme="majorEastAsia" w:hAnsi="Arial" w:cstheme="majorBidi"/>
      <w:color w:val="6384B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DC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5DC0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B5DC0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AB5DC0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AB5DC0"/>
    <w:rPr>
      <w:rFonts w:ascii="Arial" w:hAnsi="Arial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B5DC0"/>
    <w:rPr>
      <w:rFonts w:ascii="Arial" w:hAnsi="Arial"/>
      <w:smallCaps/>
      <w:color w:val="B4C960"/>
      <w:u w:val="single"/>
    </w:rPr>
  </w:style>
  <w:style w:type="character" w:styleId="IntenseReference">
    <w:name w:val="Intense Reference"/>
    <w:basedOn w:val="DefaultParagraphFont"/>
    <w:uiPriority w:val="32"/>
    <w:qFormat/>
    <w:rsid w:val="00AB5DC0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B5DC0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B5D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5C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C9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55C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C9F"/>
    <w:rPr>
      <w:rFonts w:ascii="Arial" w:hAnsi="Arial"/>
      <w:sz w:val="20"/>
    </w:rPr>
  </w:style>
  <w:style w:type="paragraph" w:styleId="ListBullet">
    <w:name w:val="List Bullet"/>
    <w:basedOn w:val="Normal"/>
    <w:uiPriority w:val="99"/>
    <w:unhideWhenUsed/>
    <w:rsid w:val="00752C2A"/>
    <w:pPr>
      <w:numPr>
        <w:numId w:val="2"/>
      </w:num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E44E2"/>
    <w:rPr>
      <w:rFonts w:eastAsiaTheme="majorEastAsia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4E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4E2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4E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4E2"/>
    <w:rPr>
      <w:rFonts w:eastAsiaTheme="majorEastAsia" w:cstheme="majorBidi"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E44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4E2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4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4E2"/>
    <w:rPr>
      <w:rFonts w:ascii="Arial" w:hAnsi="Arial"/>
      <w:i/>
      <w:iCs/>
      <w:color w:val="365F91" w:themeColor="accent1" w:themeShade="BF"/>
      <w:sz w:val="20"/>
    </w:rPr>
  </w:style>
  <w:style w:type="character" w:styleId="Hyperlink">
    <w:name w:val="Hyperlink"/>
    <w:basedOn w:val="DefaultParagraphFont"/>
    <w:uiPriority w:val="99"/>
    <w:unhideWhenUsed/>
    <w:rsid w:val="003E44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5E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yingfor.vic.gov.au/state-purchase-contracts-registers" TargetMode="External"/><Relationship Id="rId13" Type="http://schemas.openxmlformats.org/officeDocument/2006/relationships/hyperlink" Target="https://www.buyingfor.vic.gov.au/general-conditions-provision-servic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buyingfor.vic.gov.au/general-conditions-supply-good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hegordon.edu.au/about/organisational-information/quality-and-complianc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yingfor.vic.gov.au/supplier-code-conduc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enders.vic.gov.a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hegordon.edu.au/getmedia/2f176c0e-edb9-4c53-a3fd-8b8f6a6229e7/RISK-RD-15-01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hegordon.edu.au/about/organisational-information/quality-and-compliance" TargetMode="External"/><Relationship Id="rId14" Type="http://schemas.openxmlformats.org/officeDocument/2006/relationships/hyperlink" Target="mailto:payables@gordontafe.edu.a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C5BCB-1CDE-4D5A-92B5-6BB421CD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910</Words>
  <Characters>5594</Characters>
  <Application>Microsoft Office Word</Application>
  <DocSecurity>0</DocSecurity>
  <Lines>147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Gordon TAFE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Fry</dc:creator>
  <cp:keywords/>
  <dc:description/>
  <cp:lastModifiedBy>Joanne Fry</cp:lastModifiedBy>
  <cp:revision>10</cp:revision>
  <cp:lastPrinted>2010-04-27T06:38:00Z</cp:lastPrinted>
  <dcterms:created xsi:type="dcterms:W3CDTF">2026-06-12T23:27:00Z</dcterms:created>
  <dcterms:modified xsi:type="dcterms:W3CDTF">2026-06-18T20:47:00Z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4ebce3f4,1929265,66e9017f</vt:lpwstr>
  </property>
  <property fmtid="{D5CDD505-2E9C-101B-9397-08002B2CF9AE}" pid="3" name="ClassificationContentMarkingHeaderFontProps">
    <vt:lpwstr>#000000,12,Arial Rounded MT Bold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d8ccc57,20dabea5,4ea7ad68</vt:lpwstr>
  </property>
  <property fmtid="{D5CDD505-2E9C-101B-9397-08002B2CF9AE}" pid="6" name="ClassificationContentMarkingFooterFontProps">
    <vt:lpwstr>#000000,12,Arial Rounded MT Bold</vt:lpwstr>
  </property>
  <property fmtid="{D5CDD505-2E9C-101B-9397-08002B2CF9AE}" pid="7" name="ClassificationContentMarkingFooterText">
    <vt:lpwstr>OFFICIAL</vt:lpwstr>
  </property>
  <property fmtid="{D5CDD505-2E9C-101B-9397-08002B2CF9AE}" pid="8" name="MSIP_Label_e60478e3-4d8d-4019-aaeb-4396b68f3490_Enabled">
    <vt:lpwstr>true</vt:lpwstr>
  </property>
  <property fmtid="{D5CDD505-2E9C-101B-9397-08002B2CF9AE}" pid="9" name="MSIP_Label_e60478e3-4d8d-4019-aaeb-4396b68f3490_SetDate">
    <vt:lpwstr>2026-06-12T23:39:14Z</vt:lpwstr>
  </property>
  <property fmtid="{D5CDD505-2E9C-101B-9397-08002B2CF9AE}" pid="10" name="MSIP_Label_e60478e3-4d8d-4019-aaeb-4396b68f3490_Method">
    <vt:lpwstr>Standard</vt:lpwstr>
  </property>
  <property fmtid="{D5CDD505-2E9C-101B-9397-08002B2CF9AE}" pid="11" name="MSIP_Label_e60478e3-4d8d-4019-aaeb-4396b68f3490_Name">
    <vt:lpwstr>Official</vt:lpwstr>
  </property>
  <property fmtid="{D5CDD505-2E9C-101B-9397-08002B2CF9AE}" pid="12" name="MSIP_Label_e60478e3-4d8d-4019-aaeb-4396b68f3490_SiteId">
    <vt:lpwstr>e0bfa577-8ee6-4579-ab84-752a3ceaf5b4</vt:lpwstr>
  </property>
  <property fmtid="{D5CDD505-2E9C-101B-9397-08002B2CF9AE}" pid="13" name="MSIP_Label_e60478e3-4d8d-4019-aaeb-4396b68f3490_ActionId">
    <vt:lpwstr>bb77b1ab-6634-40e2-bfd5-d8d59f4e60c1</vt:lpwstr>
  </property>
  <property fmtid="{D5CDD505-2E9C-101B-9397-08002B2CF9AE}" pid="14" name="MSIP_Label_e60478e3-4d8d-4019-aaeb-4396b68f3490_ContentBits">
    <vt:lpwstr>3</vt:lpwstr>
  </property>
  <property fmtid="{D5CDD505-2E9C-101B-9397-08002B2CF9AE}" pid="15" name="MSIP_Label_e60478e3-4d8d-4019-aaeb-4396b68f3490_Tag">
    <vt:lpwstr>10, 3, 0, 1</vt:lpwstr>
  </property>
</Properties>
</file>