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2A57" w14:textId="2845ABD5" w:rsidR="0037151E" w:rsidRDefault="008E786A" w:rsidP="008145E9">
      <w:pPr>
        <w:pStyle w:val="Heading1"/>
        <w:spacing w:after="60"/>
        <w:rPr>
          <w:lang w:val="en-US"/>
        </w:rPr>
      </w:pPr>
      <w:r>
        <w:rPr>
          <w:lang w:val="en-US"/>
        </w:rPr>
        <w:t>The Gordon Student Residence Admissions Policy and Procedure</w:t>
      </w:r>
    </w:p>
    <w:p w14:paraId="55333C99" w14:textId="77777777" w:rsidR="005A0932" w:rsidRDefault="005A0932" w:rsidP="008145E9">
      <w:pPr>
        <w:pStyle w:val="POPRHEADING2"/>
        <w:numPr>
          <w:ilvl w:val="0"/>
          <w:numId w:val="0"/>
        </w:numPr>
        <w:spacing w:before="60" w:after="60"/>
        <w:ind w:left="567"/>
      </w:pPr>
    </w:p>
    <w:p w14:paraId="29A89020" w14:textId="4503A0D4" w:rsidR="00576D45" w:rsidRPr="00BD2B8C" w:rsidRDefault="005A0932" w:rsidP="008145E9">
      <w:pPr>
        <w:pStyle w:val="Heading3"/>
        <w:numPr>
          <w:ilvl w:val="0"/>
          <w:numId w:val="15"/>
        </w:numPr>
        <w:ind w:left="567" w:hanging="567"/>
        <w:rPr>
          <w:color w:val="000000" w:themeColor="text1"/>
        </w:rPr>
      </w:pPr>
      <w:r w:rsidRPr="00BD2B8C">
        <w:rPr>
          <w:color w:val="000000" w:themeColor="text1"/>
        </w:rPr>
        <w:t>Purpose</w:t>
      </w:r>
    </w:p>
    <w:p w14:paraId="36E06BE2" w14:textId="10F63134" w:rsidR="008E786A" w:rsidRDefault="008E786A" w:rsidP="008E786A">
      <w:pPr>
        <w:jc w:val="both"/>
        <w:rPr>
          <w:sz w:val="20"/>
          <w:szCs w:val="20"/>
        </w:rPr>
      </w:pPr>
      <w:r w:rsidRPr="008E786A">
        <w:rPr>
          <w:sz w:val="20"/>
          <w:szCs w:val="20"/>
        </w:rPr>
        <w:t xml:space="preserve">The Gordon TAFE is committed to providing a residential environment where all students have the opportunity to pursue their studies in a safe and supportive environment. This policy aims to ensure that students selected to live in Residences have the necessary independent living skills, resources and ability to share communal living facilities and that student selection is based on the principles of equity and fairness. </w:t>
      </w:r>
    </w:p>
    <w:p w14:paraId="4FCA6118" w14:textId="77777777" w:rsidR="008E786A" w:rsidRPr="008E786A" w:rsidRDefault="008E786A" w:rsidP="008E786A">
      <w:pPr>
        <w:jc w:val="both"/>
        <w:rPr>
          <w:sz w:val="20"/>
          <w:szCs w:val="20"/>
        </w:rPr>
      </w:pPr>
    </w:p>
    <w:p w14:paraId="044F3C33" w14:textId="5A978422" w:rsidR="008E786A" w:rsidRPr="008E786A" w:rsidRDefault="008E786A" w:rsidP="008E786A">
      <w:pPr>
        <w:jc w:val="both"/>
        <w:rPr>
          <w:sz w:val="20"/>
          <w:szCs w:val="20"/>
        </w:rPr>
      </w:pPr>
      <w:r w:rsidRPr="008E786A">
        <w:rPr>
          <w:sz w:val="20"/>
          <w:szCs w:val="20"/>
        </w:rPr>
        <w:t xml:space="preserve">Student Residence is governed by Resident Obligations and Disciplinary Procedures as outlined within the </w:t>
      </w:r>
      <w:r w:rsidRPr="001838F4">
        <w:rPr>
          <w:i/>
          <w:sz w:val="20"/>
          <w:szCs w:val="20"/>
        </w:rPr>
        <w:t>Student Residence Handbook</w:t>
      </w:r>
      <w:r w:rsidRPr="008E786A">
        <w:rPr>
          <w:sz w:val="20"/>
          <w:szCs w:val="20"/>
        </w:rPr>
        <w:t xml:space="preserve"> and in conjunction with The Gordon’s statutes, policies and procedures (in particular, The </w:t>
      </w:r>
      <w:r w:rsidRPr="001838F4">
        <w:rPr>
          <w:i/>
          <w:sz w:val="20"/>
          <w:szCs w:val="20"/>
        </w:rPr>
        <w:t>Student Code of Conduct, Student Misconduct Management Procedure and Complaints and Appeals Procedures</w:t>
      </w:r>
      <w:r w:rsidRPr="008E786A">
        <w:rPr>
          <w:sz w:val="20"/>
          <w:szCs w:val="20"/>
        </w:rPr>
        <w:t>) as well as all state and federal laws.</w:t>
      </w:r>
    </w:p>
    <w:p w14:paraId="2580D57C" w14:textId="77777777" w:rsidR="00DB6771" w:rsidRDefault="00DB6771" w:rsidP="00DB6771">
      <w:pPr>
        <w:rPr>
          <w:szCs w:val="20"/>
        </w:rPr>
      </w:pPr>
    </w:p>
    <w:p w14:paraId="5A8AB3C9" w14:textId="373DB890" w:rsidR="00576D45" w:rsidRPr="00BD2B8C" w:rsidRDefault="00576D45" w:rsidP="008145E9">
      <w:pPr>
        <w:pStyle w:val="Heading3"/>
        <w:numPr>
          <w:ilvl w:val="0"/>
          <w:numId w:val="15"/>
        </w:numPr>
        <w:ind w:left="567" w:hanging="567"/>
        <w:rPr>
          <w:color w:val="000000" w:themeColor="text1"/>
        </w:rPr>
      </w:pPr>
      <w:r w:rsidRPr="00BD2B8C">
        <w:rPr>
          <w:color w:val="000000" w:themeColor="text1"/>
        </w:rPr>
        <w:t>Scope</w:t>
      </w:r>
    </w:p>
    <w:p w14:paraId="51287138" w14:textId="53CF8098" w:rsidR="008E786A" w:rsidRPr="00671B4C" w:rsidRDefault="008E786A" w:rsidP="008E786A">
      <w:pPr>
        <w:jc w:val="both"/>
        <w:rPr>
          <w:sz w:val="20"/>
          <w:szCs w:val="20"/>
        </w:rPr>
      </w:pPr>
      <w:r w:rsidRPr="008E786A">
        <w:rPr>
          <w:sz w:val="20"/>
          <w:szCs w:val="20"/>
        </w:rPr>
        <w:t>The policy</w:t>
      </w:r>
      <w:r w:rsidR="001838F4">
        <w:rPr>
          <w:sz w:val="20"/>
          <w:szCs w:val="20"/>
        </w:rPr>
        <w:t xml:space="preserve"> and procedure</w:t>
      </w:r>
      <w:r w:rsidRPr="008E786A">
        <w:rPr>
          <w:sz w:val="20"/>
          <w:szCs w:val="20"/>
        </w:rPr>
        <w:t xml:space="preserve"> </w:t>
      </w:r>
      <w:r w:rsidR="002E38E7" w:rsidRPr="008E786A">
        <w:rPr>
          <w:sz w:val="20"/>
          <w:szCs w:val="20"/>
        </w:rPr>
        <w:t>apply</w:t>
      </w:r>
      <w:r w:rsidRPr="008E786A">
        <w:rPr>
          <w:sz w:val="20"/>
          <w:szCs w:val="20"/>
        </w:rPr>
        <w:t xml:space="preserve"> to any student applying for accommodation at Gordon Student Residence and the staff assessing the applications of potential residents.</w:t>
      </w:r>
    </w:p>
    <w:p w14:paraId="6884401A" w14:textId="77777777" w:rsidR="00576D45" w:rsidRDefault="00576D45" w:rsidP="008145E9">
      <w:pPr>
        <w:ind w:left="567" w:hanging="567"/>
        <w:rPr>
          <w:szCs w:val="20"/>
        </w:rPr>
      </w:pPr>
    </w:p>
    <w:p w14:paraId="349C26FF" w14:textId="55DE3418" w:rsidR="00576D45" w:rsidRDefault="00B8726E" w:rsidP="008145E9">
      <w:pPr>
        <w:pStyle w:val="Heading3"/>
        <w:numPr>
          <w:ilvl w:val="0"/>
          <w:numId w:val="15"/>
        </w:numPr>
        <w:ind w:left="567" w:hanging="567"/>
        <w:rPr>
          <w:color w:val="000000" w:themeColor="text1"/>
        </w:rPr>
      </w:pPr>
      <w:r>
        <w:rPr>
          <w:color w:val="000000" w:themeColor="text1"/>
        </w:rPr>
        <w:t>Policy</w:t>
      </w:r>
    </w:p>
    <w:p w14:paraId="0BD7F1A7" w14:textId="77777777" w:rsidR="008E786A" w:rsidRPr="008E786A" w:rsidRDefault="008E786A" w:rsidP="008E786A">
      <w:pPr>
        <w:pStyle w:val="POPRHEADING2"/>
        <w:numPr>
          <w:ilvl w:val="0"/>
          <w:numId w:val="0"/>
        </w:numPr>
        <w:spacing w:before="60" w:after="60"/>
        <w:rPr>
          <w:b w:val="0"/>
          <w:sz w:val="20"/>
          <w:szCs w:val="20"/>
        </w:rPr>
      </w:pPr>
      <w:r w:rsidRPr="008E786A">
        <w:rPr>
          <w:b w:val="0"/>
          <w:sz w:val="20"/>
          <w:szCs w:val="20"/>
        </w:rPr>
        <w:t xml:space="preserve">Student Residence is considered an independent living environment where residents assume responsibility for their own conduct and wellbeing. </w:t>
      </w:r>
    </w:p>
    <w:p w14:paraId="765E548E" w14:textId="77777777" w:rsidR="008E786A" w:rsidRPr="008E786A" w:rsidRDefault="008E786A" w:rsidP="008E786A">
      <w:pPr>
        <w:pStyle w:val="POPRHEADING2"/>
        <w:numPr>
          <w:ilvl w:val="0"/>
          <w:numId w:val="0"/>
        </w:numPr>
        <w:spacing w:before="60" w:after="60"/>
        <w:rPr>
          <w:b w:val="0"/>
          <w:sz w:val="20"/>
          <w:szCs w:val="20"/>
        </w:rPr>
      </w:pPr>
    </w:p>
    <w:p w14:paraId="1BDEB0F7" w14:textId="77777777" w:rsidR="008E786A" w:rsidRPr="008E786A" w:rsidRDefault="008E786A" w:rsidP="008E786A">
      <w:pPr>
        <w:jc w:val="both"/>
        <w:rPr>
          <w:rFonts w:cs="Arial"/>
          <w:sz w:val="20"/>
          <w:szCs w:val="20"/>
        </w:rPr>
      </w:pPr>
      <w:r w:rsidRPr="008E786A">
        <w:rPr>
          <w:rFonts w:cs="Arial"/>
          <w:sz w:val="20"/>
          <w:szCs w:val="20"/>
        </w:rPr>
        <w:t>Given the limited supervision of resident activity, no person under 18 years of age may take up residence without the permission of their parent or guardian, and without endorsement by their parent or guardian that they believe their child has sufficient maturity to take responsibility for their own conduct and welfare, unsupervised.</w:t>
      </w:r>
    </w:p>
    <w:p w14:paraId="4937C46E" w14:textId="77777777" w:rsidR="008E786A" w:rsidRPr="008E786A" w:rsidRDefault="008E786A" w:rsidP="008E786A">
      <w:pPr>
        <w:jc w:val="both"/>
        <w:rPr>
          <w:rFonts w:cs="Arial"/>
          <w:sz w:val="20"/>
          <w:szCs w:val="20"/>
        </w:rPr>
      </w:pPr>
    </w:p>
    <w:p w14:paraId="3568FA98" w14:textId="367E85B1" w:rsidR="008E786A" w:rsidRDefault="008E786A" w:rsidP="008E786A">
      <w:pPr>
        <w:jc w:val="both"/>
        <w:rPr>
          <w:rFonts w:cs="Arial"/>
          <w:sz w:val="20"/>
          <w:szCs w:val="20"/>
        </w:rPr>
      </w:pPr>
      <w:r w:rsidRPr="008E786A">
        <w:rPr>
          <w:rFonts w:cs="Arial"/>
          <w:sz w:val="20"/>
          <w:szCs w:val="20"/>
        </w:rPr>
        <w:t>Students must agree for their parent or guardian to be contacted for any instance of ill health, breach of agreement, disciplinary action or other concerns whilst they are under 18 years of age.</w:t>
      </w:r>
    </w:p>
    <w:p w14:paraId="2EDBA41B" w14:textId="3B335A41" w:rsidR="00077EDF" w:rsidRDefault="00077EDF" w:rsidP="008E786A">
      <w:pPr>
        <w:jc w:val="both"/>
      </w:pPr>
    </w:p>
    <w:p w14:paraId="55A94E05" w14:textId="625D9F88" w:rsidR="00077EDF" w:rsidRPr="008E786A" w:rsidRDefault="00077EDF" w:rsidP="00077EDF">
      <w:pPr>
        <w:pStyle w:val="StyleListParagraph12ptBoldHEAD2"/>
        <w:numPr>
          <w:ilvl w:val="1"/>
          <w:numId w:val="25"/>
        </w:numPr>
        <w:spacing w:before="60" w:after="60"/>
        <w:ind w:left="1134" w:hanging="567"/>
        <w:rPr>
          <w:sz w:val="20"/>
          <w:szCs w:val="20"/>
        </w:rPr>
      </w:pPr>
      <w:r w:rsidRPr="008E786A">
        <w:rPr>
          <w:sz w:val="20"/>
          <w:szCs w:val="20"/>
        </w:rPr>
        <w:t>Breach of Licence Agreement</w:t>
      </w:r>
    </w:p>
    <w:p w14:paraId="3C1A3D2A" w14:textId="33BB8753" w:rsidR="00077EDF" w:rsidRDefault="00077EDF" w:rsidP="00077EDF">
      <w:pPr>
        <w:pStyle w:val="StyleListParagraph12ptBoldHEAD2"/>
        <w:numPr>
          <w:ilvl w:val="0"/>
          <w:numId w:val="0"/>
        </w:numPr>
        <w:spacing w:before="60" w:after="60"/>
        <w:ind w:left="1134"/>
      </w:pPr>
      <w:r w:rsidRPr="008E786A">
        <w:rPr>
          <w:b w:val="0"/>
          <w:sz w:val="20"/>
          <w:szCs w:val="20"/>
        </w:rPr>
        <w:t xml:space="preserve">Residence may be terminated if there is a breach of the Licence Agreement or </w:t>
      </w:r>
      <w:r w:rsidRPr="001838F4">
        <w:rPr>
          <w:b w:val="0"/>
          <w:i/>
          <w:sz w:val="20"/>
          <w:szCs w:val="20"/>
        </w:rPr>
        <w:t>Student Residential Handbook.</w:t>
      </w:r>
      <w:r w:rsidRPr="008E786A">
        <w:rPr>
          <w:b w:val="0"/>
          <w:sz w:val="20"/>
          <w:szCs w:val="20"/>
        </w:rPr>
        <w:t xml:space="preserve">  In the event of immediate eviction, keys will be returned and the codes on the gates changed.</w:t>
      </w:r>
    </w:p>
    <w:p w14:paraId="36A869CA" w14:textId="13DDDD54" w:rsidR="00576D45" w:rsidRDefault="00220958" w:rsidP="008E786A">
      <w:pPr>
        <w:ind w:firstLine="567"/>
        <w:rPr>
          <w:color w:val="000000" w:themeColor="text1"/>
          <w:szCs w:val="20"/>
        </w:rPr>
      </w:pPr>
      <w:r>
        <w:tab/>
      </w:r>
    </w:p>
    <w:p w14:paraId="75EF3DDA" w14:textId="48815702" w:rsidR="00B8726E" w:rsidRPr="009A639D" w:rsidRDefault="00B8726E" w:rsidP="00B8726E">
      <w:pPr>
        <w:pStyle w:val="Heading3"/>
        <w:numPr>
          <w:ilvl w:val="0"/>
          <w:numId w:val="15"/>
        </w:numPr>
        <w:ind w:left="567" w:hanging="567"/>
        <w:rPr>
          <w:color w:val="000000" w:themeColor="text1"/>
        </w:rPr>
      </w:pPr>
      <w:r w:rsidRPr="009A639D">
        <w:rPr>
          <w:color w:val="000000" w:themeColor="text1"/>
        </w:rPr>
        <w:t>Procedure</w:t>
      </w:r>
    </w:p>
    <w:p w14:paraId="1EA544E3" w14:textId="2D9C0EA2" w:rsidR="008E786A" w:rsidRDefault="008E786A" w:rsidP="008E786A">
      <w:pPr>
        <w:pStyle w:val="StyleListParagraph12ptBoldHEAD2"/>
        <w:numPr>
          <w:ilvl w:val="0"/>
          <w:numId w:val="0"/>
        </w:numPr>
        <w:spacing w:before="60" w:after="60"/>
        <w:ind w:left="1134" w:hanging="567"/>
        <w:rPr>
          <w:sz w:val="20"/>
          <w:szCs w:val="20"/>
        </w:rPr>
      </w:pPr>
      <w:r w:rsidRPr="008E786A">
        <w:rPr>
          <w:sz w:val="20"/>
          <w:szCs w:val="20"/>
        </w:rPr>
        <w:t xml:space="preserve">4.1 </w:t>
      </w:r>
      <w:r>
        <w:rPr>
          <w:sz w:val="20"/>
          <w:szCs w:val="20"/>
        </w:rPr>
        <w:tab/>
      </w:r>
      <w:r w:rsidRPr="008E786A">
        <w:rPr>
          <w:sz w:val="20"/>
          <w:szCs w:val="20"/>
        </w:rPr>
        <w:t>Applications</w:t>
      </w:r>
    </w:p>
    <w:p w14:paraId="42B5C886" w14:textId="36F0D1C1" w:rsidR="008E786A" w:rsidRPr="008E786A" w:rsidRDefault="008E786A" w:rsidP="008E786A">
      <w:pPr>
        <w:pStyle w:val="StyleListParagraph12ptBoldHEAD2"/>
        <w:numPr>
          <w:ilvl w:val="0"/>
          <w:numId w:val="0"/>
        </w:numPr>
        <w:spacing w:before="60" w:after="60"/>
        <w:ind w:left="1134"/>
        <w:rPr>
          <w:b w:val="0"/>
          <w:sz w:val="20"/>
          <w:szCs w:val="20"/>
        </w:rPr>
      </w:pPr>
      <w:r w:rsidRPr="008E786A">
        <w:rPr>
          <w:b w:val="0"/>
          <w:sz w:val="20"/>
          <w:szCs w:val="20"/>
        </w:rPr>
        <w:t>Each application will be assessed on a case by case basis and the strength of the overall application will determine eligibility to live at Student Residence.  The Institute will have open, fair and equitable procedures for making decisions about students applying to live at Residences. The selection process will be at the discretion of management upon applicant reference and police check consideration.</w:t>
      </w:r>
    </w:p>
    <w:p w14:paraId="52DAA79A" w14:textId="77777777" w:rsidR="008E786A" w:rsidRPr="008E786A" w:rsidRDefault="008E786A" w:rsidP="008E786A">
      <w:pPr>
        <w:ind w:left="1134"/>
        <w:jc w:val="both"/>
        <w:rPr>
          <w:b/>
          <w:sz w:val="20"/>
          <w:szCs w:val="20"/>
        </w:rPr>
      </w:pPr>
    </w:p>
    <w:p w14:paraId="295CA081" w14:textId="77777777" w:rsidR="008E786A" w:rsidRPr="008E786A" w:rsidRDefault="008E786A" w:rsidP="008E786A">
      <w:pPr>
        <w:ind w:left="1134"/>
        <w:jc w:val="both"/>
        <w:rPr>
          <w:bCs/>
          <w:sz w:val="20"/>
          <w:szCs w:val="20"/>
        </w:rPr>
      </w:pPr>
      <w:r w:rsidRPr="008E786A">
        <w:rPr>
          <w:bCs/>
          <w:sz w:val="20"/>
          <w:szCs w:val="20"/>
        </w:rPr>
        <w:t xml:space="preserve">Regardless of background or circumstance, potential students wishing to live at Student Residence will be assessed through the same application requirements and through the </w:t>
      </w:r>
      <w:r w:rsidRPr="008E786A">
        <w:rPr>
          <w:bCs/>
          <w:sz w:val="20"/>
          <w:szCs w:val="20"/>
        </w:rPr>
        <w:lastRenderedPageBreak/>
        <w:t>same selection criteria process.  If barriers to residential living are identified when the application is assessed, Gordon TAFE may place conditions on a student living on Residence providing there are sufficient external supports in place.</w:t>
      </w:r>
    </w:p>
    <w:p w14:paraId="61863B5E" w14:textId="77777777" w:rsidR="008E786A" w:rsidRPr="008E786A" w:rsidRDefault="008E786A" w:rsidP="008E786A">
      <w:pPr>
        <w:rPr>
          <w:bCs/>
          <w:sz w:val="20"/>
          <w:szCs w:val="20"/>
        </w:rPr>
      </w:pPr>
    </w:p>
    <w:p w14:paraId="75A0826D" w14:textId="2696D2DC" w:rsidR="008E786A" w:rsidRPr="008E786A" w:rsidRDefault="008E786A" w:rsidP="008E786A">
      <w:pPr>
        <w:ind w:left="1134" w:hanging="567"/>
        <w:rPr>
          <w:b/>
          <w:bCs/>
          <w:sz w:val="20"/>
          <w:szCs w:val="20"/>
        </w:rPr>
      </w:pPr>
      <w:r w:rsidRPr="008E786A">
        <w:rPr>
          <w:b/>
          <w:bCs/>
          <w:sz w:val="20"/>
          <w:szCs w:val="20"/>
        </w:rPr>
        <w:t xml:space="preserve">4.2 </w:t>
      </w:r>
      <w:r>
        <w:rPr>
          <w:b/>
          <w:bCs/>
          <w:sz w:val="20"/>
          <w:szCs w:val="20"/>
        </w:rPr>
        <w:tab/>
      </w:r>
      <w:r w:rsidRPr="008E786A">
        <w:rPr>
          <w:b/>
          <w:bCs/>
          <w:sz w:val="20"/>
          <w:szCs w:val="20"/>
        </w:rPr>
        <w:t>Two-month Probation Period</w:t>
      </w:r>
    </w:p>
    <w:p w14:paraId="29B8846A" w14:textId="77777777" w:rsidR="008E786A" w:rsidRPr="008E786A" w:rsidRDefault="008E786A" w:rsidP="008E786A">
      <w:pPr>
        <w:ind w:left="1134"/>
        <w:rPr>
          <w:bCs/>
          <w:sz w:val="20"/>
          <w:szCs w:val="20"/>
        </w:rPr>
      </w:pPr>
      <w:r w:rsidRPr="008E786A">
        <w:rPr>
          <w:bCs/>
          <w:sz w:val="20"/>
          <w:szCs w:val="20"/>
        </w:rPr>
        <w:t>As part of the Licence Agreement all long-term residence will agree to a two-month probationary period as a requirement of their residency at the Student Residence commencing from the move-in date and lasting for two months.  Residents will agree to complying with the Student Residence rules, regulations and policies and acknowledge that failure to comply may lead to the termination of their residency.</w:t>
      </w:r>
    </w:p>
    <w:p w14:paraId="26BC90E1" w14:textId="77777777" w:rsidR="008E786A" w:rsidRPr="008E786A" w:rsidRDefault="008E786A" w:rsidP="008E786A">
      <w:pPr>
        <w:ind w:left="567"/>
        <w:rPr>
          <w:bCs/>
          <w:sz w:val="20"/>
          <w:szCs w:val="20"/>
        </w:rPr>
      </w:pPr>
    </w:p>
    <w:p w14:paraId="2B0ECE53" w14:textId="79915954" w:rsidR="008E786A" w:rsidRPr="008E786A" w:rsidRDefault="008E786A" w:rsidP="008E786A">
      <w:pPr>
        <w:tabs>
          <w:tab w:val="left" w:pos="1134"/>
        </w:tabs>
        <w:ind w:left="567"/>
        <w:rPr>
          <w:b/>
          <w:bCs/>
          <w:sz w:val="20"/>
          <w:szCs w:val="20"/>
        </w:rPr>
      </w:pPr>
      <w:r w:rsidRPr="008E786A">
        <w:rPr>
          <w:b/>
          <w:bCs/>
          <w:sz w:val="20"/>
          <w:szCs w:val="20"/>
        </w:rPr>
        <w:t xml:space="preserve">4.3 </w:t>
      </w:r>
      <w:r>
        <w:rPr>
          <w:b/>
          <w:bCs/>
          <w:sz w:val="20"/>
          <w:szCs w:val="20"/>
        </w:rPr>
        <w:tab/>
      </w:r>
      <w:r w:rsidRPr="008E786A">
        <w:rPr>
          <w:b/>
          <w:bCs/>
          <w:sz w:val="20"/>
          <w:szCs w:val="20"/>
        </w:rPr>
        <w:t>Room availability</w:t>
      </w:r>
    </w:p>
    <w:p w14:paraId="720DFDAC" w14:textId="77777777" w:rsidR="008E786A" w:rsidRPr="008E786A" w:rsidRDefault="008E786A" w:rsidP="008E786A">
      <w:pPr>
        <w:ind w:left="1134"/>
        <w:rPr>
          <w:bCs/>
          <w:sz w:val="20"/>
          <w:szCs w:val="20"/>
        </w:rPr>
      </w:pPr>
      <w:r w:rsidRPr="008E786A">
        <w:rPr>
          <w:bCs/>
          <w:sz w:val="20"/>
          <w:szCs w:val="20"/>
        </w:rPr>
        <w:t>As there are only a limited amount of rooms available at Student Residence, sometimes demand may exceed availability.  An application must be completed and submitted, however, by applying to Student Residence does not guarantee a room will be offered, applications need to be processed, references validated and police check completed.</w:t>
      </w:r>
    </w:p>
    <w:p w14:paraId="1DC9A02E" w14:textId="77777777" w:rsidR="008E786A" w:rsidRPr="008E786A" w:rsidRDefault="008E786A" w:rsidP="008E786A">
      <w:pPr>
        <w:ind w:left="567"/>
        <w:rPr>
          <w:b/>
          <w:bCs/>
          <w:sz w:val="20"/>
          <w:szCs w:val="20"/>
        </w:rPr>
      </w:pPr>
    </w:p>
    <w:p w14:paraId="5B12BF61" w14:textId="581CD803" w:rsidR="008E786A" w:rsidRPr="008E786A" w:rsidRDefault="008E786A" w:rsidP="008E786A">
      <w:pPr>
        <w:tabs>
          <w:tab w:val="left" w:pos="1134"/>
        </w:tabs>
        <w:ind w:left="567"/>
        <w:rPr>
          <w:b/>
          <w:bCs/>
          <w:sz w:val="20"/>
          <w:szCs w:val="20"/>
        </w:rPr>
      </w:pPr>
      <w:r w:rsidRPr="008E786A">
        <w:rPr>
          <w:b/>
          <w:bCs/>
          <w:sz w:val="20"/>
          <w:szCs w:val="20"/>
        </w:rPr>
        <w:t xml:space="preserve">4.4 </w:t>
      </w:r>
      <w:r>
        <w:rPr>
          <w:b/>
          <w:bCs/>
          <w:sz w:val="20"/>
          <w:szCs w:val="20"/>
        </w:rPr>
        <w:tab/>
      </w:r>
      <w:r w:rsidRPr="008E786A">
        <w:rPr>
          <w:b/>
          <w:bCs/>
          <w:sz w:val="20"/>
          <w:szCs w:val="20"/>
        </w:rPr>
        <w:t>Re-application</w:t>
      </w:r>
    </w:p>
    <w:p w14:paraId="7944CEB1" w14:textId="77777777" w:rsidR="008E786A" w:rsidRPr="008E786A" w:rsidRDefault="008E786A" w:rsidP="008E786A">
      <w:pPr>
        <w:ind w:left="1134"/>
        <w:rPr>
          <w:bCs/>
          <w:sz w:val="20"/>
          <w:szCs w:val="20"/>
        </w:rPr>
      </w:pPr>
      <w:r w:rsidRPr="008E786A">
        <w:rPr>
          <w:bCs/>
          <w:sz w:val="20"/>
          <w:szCs w:val="20"/>
        </w:rPr>
        <w:t>There is no guarantee of accommodation if a student re-applies the following year.  There are a number of criteria used for re-selection including rent record, behaviour, class attendance and participation in community life events.</w:t>
      </w:r>
    </w:p>
    <w:p w14:paraId="5FBA5010" w14:textId="77777777" w:rsidR="008E786A" w:rsidRPr="008E786A" w:rsidRDefault="008E786A" w:rsidP="008E786A">
      <w:pPr>
        <w:rPr>
          <w:rStyle w:val="CommentReference"/>
          <w:sz w:val="20"/>
          <w:szCs w:val="20"/>
        </w:rPr>
      </w:pPr>
      <w:r w:rsidRPr="008E786A">
        <w:rPr>
          <w:bCs/>
          <w:sz w:val="20"/>
          <w:szCs w:val="20"/>
        </w:rPr>
        <w:t xml:space="preserve">                       </w:t>
      </w:r>
    </w:p>
    <w:p w14:paraId="099E6815" w14:textId="6597C587" w:rsidR="008E786A" w:rsidRPr="008E786A" w:rsidRDefault="008E786A" w:rsidP="008E786A">
      <w:pPr>
        <w:tabs>
          <w:tab w:val="left" w:pos="1134"/>
        </w:tabs>
        <w:ind w:firstLine="567"/>
        <w:rPr>
          <w:b/>
          <w:sz w:val="20"/>
          <w:szCs w:val="20"/>
        </w:rPr>
      </w:pPr>
      <w:r w:rsidRPr="008E786A">
        <w:rPr>
          <w:b/>
          <w:bCs/>
          <w:sz w:val="20"/>
          <w:szCs w:val="20"/>
        </w:rPr>
        <w:t xml:space="preserve">4.5 </w:t>
      </w:r>
      <w:r>
        <w:rPr>
          <w:b/>
          <w:bCs/>
          <w:sz w:val="20"/>
          <w:szCs w:val="20"/>
        </w:rPr>
        <w:tab/>
      </w:r>
      <w:r w:rsidRPr="008E786A">
        <w:rPr>
          <w:b/>
          <w:bCs/>
          <w:sz w:val="20"/>
          <w:szCs w:val="20"/>
        </w:rPr>
        <w:t xml:space="preserve">Eligibility </w:t>
      </w:r>
    </w:p>
    <w:p w14:paraId="1D93830B" w14:textId="0E8A8690" w:rsidR="008E786A" w:rsidRDefault="008E786A" w:rsidP="008E786A">
      <w:pPr>
        <w:ind w:left="1701" w:hanging="567"/>
        <w:rPr>
          <w:b/>
          <w:bCs/>
          <w:sz w:val="20"/>
          <w:szCs w:val="20"/>
        </w:rPr>
      </w:pPr>
      <w:r w:rsidRPr="008E786A">
        <w:rPr>
          <w:b/>
          <w:bCs/>
          <w:sz w:val="20"/>
          <w:szCs w:val="20"/>
        </w:rPr>
        <w:t xml:space="preserve">4.5.1 </w:t>
      </w:r>
      <w:r>
        <w:rPr>
          <w:b/>
          <w:bCs/>
          <w:sz w:val="20"/>
          <w:szCs w:val="20"/>
        </w:rPr>
        <w:tab/>
      </w:r>
      <w:r w:rsidRPr="008E786A">
        <w:rPr>
          <w:b/>
          <w:bCs/>
          <w:sz w:val="20"/>
          <w:szCs w:val="20"/>
        </w:rPr>
        <w:t>Full time residency</w:t>
      </w:r>
    </w:p>
    <w:p w14:paraId="62333A59" w14:textId="38B8A39A" w:rsidR="008E786A" w:rsidRPr="008E786A" w:rsidRDefault="008E786A" w:rsidP="008E786A">
      <w:pPr>
        <w:ind w:firstLine="1701"/>
        <w:rPr>
          <w:b/>
          <w:bCs/>
          <w:sz w:val="20"/>
          <w:szCs w:val="20"/>
        </w:rPr>
      </w:pPr>
      <w:r w:rsidRPr="008E786A">
        <w:rPr>
          <w:bCs/>
          <w:sz w:val="20"/>
          <w:szCs w:val="20"/>
        </w:rPr>
        <w:t>To be eligible to live long-term at Student Residences the student must;</w:t>
      </w:r>
    </w:p>
    <w:p w14:paraId="625263F6" w14:textId="77777777" w:rsidR="008E786A" w:rsidRPr="008E786A" w:rsidRDefault="008E786A" w:rsidP="008E786A">
      <w:pPr>
        <w:pStyle w:val="ListParagraph"/>
        <w:numPr>
          <w:ilvl w:val="0"/>
          <w:numId w:val="22"/>
        </w:numPr>
        <w:ind w:left="2268" w:hanging="567"/>
        <w:jc w:val="both"/>
        <w:rPr>
          <w:bCs/>
          <w:sz w:val="20"/>
          <w:szCs w:val="20"/>
        </w:rPr>
      </w:pPr>
      <w:r w:rsidRPr="008E786A">
        <w:rPr>
          <w:bCs/>
          <w:sz w:val="20"/>
          <w:szCs w:val="20"/>
        </w:rPr>
        <w:t xml:space="preserve">Be currently enrolled in a Gordon TAFE course in at least 0.3 capacity and must maintain current student enrolment for the duration of their tenancy as defined in the </w:t>
      </w:r>
      <w:r w:rsidRPr="008E786A">
        <w:rPr>
          <w:bCs/>
          <w:i/>
          <w:sz w:val="20"/>
          <w:szCs w:val="20"/>
        </w:rPr>
        <w:t>Licence Agreement</w:t>
      </w:r>
      <w:r w:rsidRPr="008E786A">
        <w:rPr>
          <w:bCs/>
          <w:sz w:val="20"/>
          <w:szCs w:val="20"/>
        </w:rPr>
        <w:t>.</w:t>
      </w:r>
    </w:p>
    <w:p w14:paraId="0DD1C955" w14:textId="77777777" w:rsidR="008E786A" w:rsidRPr="008E786A" w:rsidRDefault="008E786A" w:rsidP="008E786A">
      <w:pPr>
        <w:pStyle w:val="ListParagraph"/>
        <w:numPr>
          <w:ilvl w:val="3"/>
          <w:numId w:val="22"/>
        </w:numPr>
        <w:ind w:left="2268" w:hanging="567"/>
        <w:jc w:val="both"/>
        <w:rPr>
          <w:b/>
          <w:bCs/>
          <w:sz w:val="20"/>
          <w:szCs w:val="20"/>
        </w:rPr>
      </w:pPr>
      <w:r w:rsidRPr="008E786A">
        <w:rPr>
          <w:bCs/>
          <w:sz w:val="20"/>
          <w:szCs w:val="20"/>
        </w:rPr>
        <w:t xml:space="preserve">Submit a completed </w:t>
      </w:r>
      <w:r w:rsidRPr="008E786A">
        <w:rPr>
          <w:bCs/>
          <w:i/>
          <w:sz w:val="20"/>
          <w:szCs w:val="20"/>
        </w:rPr>
        <w:t>Application for Admission to the Student Residence form.</w:t>
      </w:r>
      <w:r w:rsidRPr="008E786A">
        <w:rPr>
          <w:bCs/>
          <w:sz w:val="20"/>
          <w:szCs w:val="20"/>
        </w:rPr>
        <w:t xml:space="preserve">  For any applicant under 18 years, this must be co-signed by a parent/guardian.</w:t>
      </w:r>
    </w:p>
    <w:p w14:paraId="44258A1C" w14:textId="77777777" w:rsidR="008E786A" w:rsidRPr="008E786A" w:rsidRDefault="008E786A" w:rsidP="008E786A">
      <w:pPr>
        <w:pStyle w:val="ListParagraph"/>
        <w:numPr>
          <w:ilvl w:val="0"/>
          <w:numId w:val="22"/>
        </w:numPr>
        <w:ind w:left="2268" w:hanging="567"/>
        <w:jc w:val="both"/>
        <w:rPr>
          <w:bCs/>
          <w:sz w:val="20"/>
          <w:szCs w:val="20"/>
        </w:rPr>
      </w:pPr>
      <w:r w:rsidRPr="008E786A">
        <w:rPr>
          <w:bCs/>
          <w:sz w:val="20"/>
          <w:szCs w:val="20"/>
        </w:rPr>
        <w:t>Have 1 verbal, 1 written reference and a Police Check validated prior to arrival by the Residence Manager.</w:t>
      </w:r>
    </w:p>
    <w:p w14:paraId="6F3031E8" w14:textId="77777777" w:rsidR="008E786A" w:rsidRPr="008E786A" w:rsidRDefault="008E786A" w:rsidP="008E786A">
      <w:pPr>
        <w:pStyle w:val="ListParagraph"/>
        <w:numPr>
          <w:ilvl w:val="0"/>
          <w:numId w:val="22"/>
        </w:numPr>
        <w:ind w:left="2268" w:hanging="567"/>
        <w:jc w:val="both"/>
        <w:rPr>
          <w:bCs/>
          <w:sz w:val="20"/>
          <w:szCs w:val="20"/>
        </w:rPr>
      </w:pPr>
      <w:r w:rsidRPr="008E786A">
        <w:rPr>
          <w:bCs/>
          <w:sz w:val="20"/>
          <w:szCs w:val="20"/>
        </w:rPr>
        <w:t>Complete the mandatory online Induction Model prior to arrival.</w:t>
      </w:r>
    </w:p>
    <w:p w14:paraId="26F7740A" w14:textId="77777777" w:rsidR="008E786A" w:rsidRPr="008E786A" w:rsidRDefault="008E786A" w:rsidP="008E786A">
      <w:pPr>
        <w:pStyle w:val="ListParagraph"/>
        <w:numPr>
          <w:ilvl w:val="0"/>
          <w:numId w:val="22"/>
        </w:numPr>
        <w:ind w:left="2268" w:hanging="567"/>
        <w:jc w:val="both"/>
        <w:rPr>
          <w:bCs/>
          <w:sz w:val="20"/>
          <w:szCs w:val="20"/>
        </w:rPr>
      </w:pPr>
      <w:r w:rsidRPr="008E786A">
        <w:rPr>
          <w:bCs/>
          <w:sz w:val="20"/>
          <w:szCs w:val="20"/>
        </w:rPr>
        <w:t>Agree to all terms outlined in the Licence Agreement and Student Residence Handbook.</w:t>
      </w:r>
    </w:p>
    <w:p w14:paraId="7E2B66B1" w14:textId="77777777" w:rsidR="008E786A" w:rsidRPr="008E786A" w:rsidRDefault="008E786A" w:rsidP="008E786A">
      <w:pPr>
        <w:pStyle w:val="ListParagraph"/>
        <w:numPr>
          <w:ilvl w:val="0"/>
          <w:numId w:val="22"/>
        </w:numPr>
        <w:ind w:left="2268" w:hanging="567"/>
        <w:jc w:val="both"/>
        <w:rPr>
          <w:bCs/>
          <w:sz w:val="20"/>
          <w:szCs w:val="20"/>
        </w:rPr>
      </w:pPr>
      <w:r w:rsidRPr="008E786A">
        <w:rPr>
          <w:bCs/>
          <w:sz w:val="20"/>
          <w:szCs w:val="20"/>
        </w:rPr>
        <w:t>Agree to a two-month probation period commencing from move-in date</w:t>
      </w:r>
    </w:p>
    <w:p w14:paraId="620F83F1" w14:textId="77777777" w:rsidR="008E786A" w:rsidRPr="008E786A" w:rsidRDefault="008E786A" w:rsidP="008E786A">
      <w:pPr>
        <w:pStyle w:val="ListParagraph"/>
        <w:numPr>
          <w:ilvl w:val="0"/>
          <w:numId w:val="22"/>
        </w:numPr>
        <w:ind w:left="2268" w:hanging="567"/>
        <w:jc w:val="both"/>
        <w:rPr>
          <w:bCs/>
          <w:sz w:val="20"/>
          <w:szCs w:val="20"/>
        </w:rPr>
      </w:pPr>
      <w:r w:rsidRPr="008E786A">
        <w:rPr>
          <w:bCs/>
          <w:sz w:val="20"/>
          <w:szCs w:val="20"/>
        </w:rPr>
        <w:t>Pay 4 weeks rent as Bond and 2 weeks rent in advance prior to arrival.</w:t>
      </w:r>
    </w:p>
    <w:p w14:paraId="0845A745" w14:textId="77777777" w:rsidR="008E786A" w:rsidRPr="008E786A" w:rsidRDefault="008E786A" w:rsidP="008E786A">
      <w:pPr>
        <w:rPr>
          <w:bCs/>
          <w:sz w:val="20"/>
          <w:szCs w:val="20"/>
        </w:rPr>
      </w:pPr>
      <w:r w:rsidRPr="008E786A">
        <w:rPr>
          <w:bCs/>
          <w:sz w:val="20"/>
          <w:szCs w:val="20"/>
        </w:rPr>
        <w:t xml:space="preserve"> </w:t>
      </w:r>
    </w:p>
    <w:p w14:paraId="1B47F78B" w14:textId="1FE77CDA" w:rsidR="008E786A" w:rsidRDefault="008E786A" w:rsidP="008E786A">
      <w:pPr>
        <w:ind w:left="1701" w:hanging="567"/>
        <w:rPr>
          <w:b/>
          <w:bCs/>
          <w:sz w:val="20"/>
          <w:szCs w:val="20"/>
        </w:rPr>
      </w:pPr>
      <w:r w:rsidRPr="008E786A">
        <w:rPr>
          <w:b/>
          <w:bCs/>
          <w:sz w:val="20"/>
          <w:szCs w:val="20"/>
        </w:rPr>
        <w:t xml:space="preserve">4.5.2 </w:t>
      </w:r>
      <w:r w:rsidR="00077EDF">
        <w:rPr>
          <w:b/>
          <w:bCs/>
          <w:sz w:val="20"/>
          <w:szCs w:val="20"/>
        </w:rPr>
        <w:tab/>
      </w:r>
      <w:r w:rsidRPr="008E786A">
        <w:rPr>
          <w:b/>
          <w:bCs/>
          <w:sz w:val="20"/>
          <w:szCs w:val="20"/>
        </w:rPr>
        <w:t>Short term accommodation</w:t>
      </w:r>
    </w:p>
    <w:p w14:paraId="732EB910" w14:textId="0EAD837A" w:rsidR="008E786A" w:rsidRPr="008E786A" w:rsidRDefault="008E786A" w:rsidP="00077EDF">
      <w:pPr>
        <w:ind w:left="1701"/>
        <w:rPr>
          <w:bCs/>
          <w:sz w:val="20"/>
          <w:szCs w:val="20"/>
        </w:rPr>
      </w:pPr>
      <w:r w:rsidRPr="008E786A">
        <w:rPr>
          <w:b/>
          <w:bCs/>
          <w:sz w:val="20"/>
          <w:szCs w:val="20"/>
        </w:rPr>
        <w:t xml:space="preserve"> </w:t>
      </w:r>
      <w:r w:rsidRPr="008E786A">
        <w:rPr>
          <w:bCs/>
          <w:sz w:val="20"/>
          <w:szCs w:val="20"/>
        </w:rPr>
        <w:t>To be eligible to live short-term at Student Residence the student must;</w:t>
      </w:r>
    </w:p>
    <w:p w14:paraId="627E8116" w14:textId="77777777" w:rsidR="008E786A" w:rsidRPr="008E786A" w:rsidRDefault="008E786A" w:rsidP="00077EDF">
      <w:pPr>
        <w:pStyle w:val="ListParagraph"/>
        <w:numPr>
          <w:ilvl w:val="0"/>
          <w:numId w:val="23"/>
        </w:numPr>
        <w:ind w:left="2268" w:hanging="567"/>
        <w:jc w:val="both"/>
        <w:rPr>
          <w:bCs/>
          <w:sz w:val="20"/>
          <w:szCs w:val="20"/>
        </w:rPr>
      </w:pPr>
      <w:r w:rsidRPr="008E786A">
        <w:rPr>
          <w:bCs/>
          <w:sz w:val="20"/>
          <w:szCs w:val="20"/>
        </w:rPr>
        <w:t>Be attending block release training at The Gordon TAFE of up to four weeks duration or be on work placement.</w:t>
      </w:r>
    </w:p>
    <w:p w14:paraId="2A2B26F3" w14:textId="77777777" w:rsidR="008E786A" w:rsidRPr="008E786A" w:rsidRDefault="008E786A" w:rsidP="00077EDF">
      <w:pPr>
        <w:pStyle w:val="ListParagraph"/>
        <w:numPr>
          <w:ilvl w:val="3"/>
          <w:numId w:val="22"/>
        </w:numPr>
        <w:ind w:left="2268" w:hanging="567"/>
        <w:jc w:val="both"/>
        <w:rPr>
          <w:b/>
          <w:bCs/>
          <w:sz w:val="20"/>
          <w:szCs w:val="20"/>
        </w:rPr>
      </w:pPr>
      <w:r w:rsidRPr="008E786A">
        <w:rPr>
          <w:bCs/>
          <w:sz w:val="20"/>
          <w:szCs w:val="20"/>
        </w:rPr>
        <w:t xml:space="preserve">Submit a </w:t>
      </w:r>
      <w:r w:rsidRPr="008E786A">
        <w:rPr>
          <w:bCs/>
          <w:i/>
          <w:sz w:val="20"/>
          <w:szCs w:val="20"/>
        </w:rPr>
        <w:t>Short-term Accommodation Application Agreement</w:t>
      </w:r>
      <w:r w:rsidRPr="008E786A">
        <w:rPr>
          <w:bCs/>
          <w:sz w:val="20"/>
          <w:szCs w:val="20"/>
        </w:rPr>
        <w:t xml:space="preserve"> prior to arrival of the first stay.  For any applicant under 18 years, this must be co-signed by a parent/guardian.</w:t>
      </w:r>
    </w:p>
    <w:p w14:paraId="5481F8B7" w14:textId="77777777" w:rsidR="008E786A" w:rsidRPr="008E786A" w:rsidRDefault="008E786A" w:rsidP="00077EDF">
      <w:pPr>
        <w:pStyle w:val="ListParagraph"/>
        <w:numPr>
          <w:ilvl w:val="0"/>
          <w:numId w:val="23"/>
        </w:numPr>
        <w:ind w:left="2268" w:hanging="567"/>
        <w:jc w:val="both"/>
        <w:rPr>
          <w:bCs/>
          <w:sz w:val="20"/>
          <w:szCs w:val="20"/>
        </w:rPr>
      </w:pPr>
      <w:r w:rsidRPr="008E786A">
        <w:rPr>
          <w:bCs/>
          <w:sz w:val="20"/>
          <w:szCs w:val="20"/>
        </w:rPr>
        <w:t>Sign the Key Receipt form and participate in an onsite induction upon arrival.</w:t>
      </w:r>
    </w:p>
    <w:p w14:paraId="192F666A" w14:textId="77777777" w:rsidR="008E786A" w:rsidRPr="008E786A" w:rsidRDefault="008E786A" w:rsidP="00077EDF">
      <w:pPr>
        <w:pStyle w:val="ListParagraph"/>
        <w:numPr>
          <w:ilvl w:val="0"/>
          <w:numId w:val="23"/>
        </w:numPr>
        <w:ind w:left="2268" w:hanging="567"/>
        <w:jc w:val="both"/>
        <w:rPr>
          <w:bCs/>
          <w:sz w:val="20"/>
          <w:szCs w:val="20"/>
        </w:rPr>
      </w:pPr>
      <w:r w:rsidRPr="008E786A">
        <w:rPr>
          <w:bCs/>
          <w:sz w:val="20"/>
          <w:szCs w:val="20"/>
        </w:rPr>
        <w:t>Agree to all terms outlined in the Licence Agreement and Student Residence Handbook.</w:t>
      </w:r>
    </w:p>
    <w:p w14:paraId="4A78B37E" w14:textId="77777777" w:rsidR="008E786A" w:rsidRPr="008E786A" w:rsidRDefault="008E786A" w:rsidP="008E786A">
      <w:pPr>
        <w:pStyle w:val="ListParagraph"/>
        <w:ind w:left="1069"/>
        <w:rPr>
          <w:bCs/>
          <w:sz w:val="20"/>
          <w:szCs w:val="20"/>
        </w:rPr>
      </w:pPr>
    </w:p>
    <w:p w14:paraId="138AD174" w14:textId="1050BEA2" w:rsidR="008E786A" w:rsidRPr="008E786A" w:rsidRDefault="008E786A" w:rsidP="00077EDF">
      <w:pPr>
        <w:ind w:left="1134" w:hanging="568"/>
        <w:rPr>
          <w:b/>
          <w:bCs/>
          <w:sz w:val="20"/>
          <w:szCs w:val="20"/>
        </w:rPr>
      </w:pPr>
      <w:r w:rsidRPr="008E786A">
        <w:rPr>
          <w:b/>
          <w:bCs/>
          <w:sz w:val="20"/>
          <w:szCs w:val="20"/>
        </w:rPr>
        <w:lastRenderedPageBreak/>
        <w:t xml:space="preserve">4.6 </w:t>
      </w:r>
      <w:r w:rsidR="00077EDF">
        <w:rPr>
          <w:b/>
          <w:bCs/>
          <w:sz w:val="20"/>
          <w:szCs w:val="20"/>
        </w:rPr>
        <w:tab/>
      </w:r>
      <w:r w:rsidRPr="008E786A">
        <w:rPr>
          <w:b/>
          <w:bCs/>
          <w:sz w:val="20"/>
          <w:szCs w:val="20"/>
        </w:rPr>
        <w:t>Summer Stay</w:t>
      </w:r>
    </w:p>
    <w:p w14:paraId="2E0E297F" w14:textId="65FA76DC" w:rsidR="008E786A" w:rsidRPr="008E786A" w:rsidRDefault="008E786A" w:rsidP="00077EDF">
      <w:pPr>
        <w:ind w:left="1134"/>
        <w:rPr>
          <w:bCs/>
          <w:sz w:val="20"/>
          <w:szCs w:val="20"/>
        </w:rPr>
      </w:pPr>
      <w:r w:rsidRPr="008E786A">
        <w:rPr>
          <w:bCs/>
          <w:sz w:val="20"/>
          <w:szCs w:val="20"/>
        </w:rPr>
        <w:t>To be eligible to stay over summer vacation, students must complete and return to the Residence Manager a Summer Stay Form and Re-application form prior to the end of November.  Eligibility to stay over Summer vacation will be subject to availability rent record and behaviour.</w:t>
      </w:r>
    </w:p>
    <w:p w14:paraId="04100956" w14:textId="77777777" w:rsidR="00EC62B2" w:rsidRPr="00BD2B8C" w:rsidRDefault="00EC62B2" w:rsidP="008145E9">
      <w:pPr>
        <w:ind w:left="567" w:hanging="567"/>
        <w:rPr>
          <w:color w:val="000000" w:themeColor="text1"/>
          <w:szCs w:val="20"/>
        </w:rPr>
      </w:pPr>
    </w:p>
    <w:p w14:paraId="7642E1B6" w14:textId="24F3BCD9" w:rsidR="00576D45" w:rsidRPr="009A639D" w:rsidRDefault="00671B4C" w:rsidP="008145E9">
      <w:pPr>
        <w:pStyle w:val="Heading3"/>
        <w:numPr>
          <w:ilvl w:val="0"/>
          <w:numId w:val="15"/>
        </w:numPr>
        <w:ind w:left="567" w:hanging="567"/>
        <w:rPr>
          <w:color w:val="000000" w:themeColor="text1"/>
        </w:rPr>
      </w:pPr>
      <w:r w:rsidRPr="009A639D">
        <w:rPr>
          <w:color w:val="000000" w:themeColor="text1"/>
        </w:rPr>
        <w:t>R</w:t>
      </w:r>
      <w:r w:rsidR="00576D45" w:rsidRPr="009A639D">
        <w:rPr>
          <w:color w:val="000000" w:themeColor="text1"/>
        </w:rPr>
        <w:t>esponsibilities</w:t>
      </w:r>
    </w:p>
    <w:tbl>
      <w:tblPr>
        <w:tblW w:w="9923" w:type="dxa"/>
        <w:tblInd w:w="-5" w:type="dxa"/>
        <w:tblBorders>
          <w:top w:val="single" w:sz="4" w:space="0" w:color="999999"/>
          <w:left w:val="single" w:sz="4" w:space="0" w:color="999999"/>
          <w:bottom w:val="single" w:sz="4" w:space="0" w:color="999999"/>
          <w:right w:val="single" w:sz="4" w:space="0" w:color="999999"/>
        </w:tblBorders>
        <w:tblLayout w:type="fixed"/>
        <w:tblLook w:val="04A0" w:firstRow="1" w:lastRow="0" w:firstColumn="1" w:lastColumn="0" w:noHBand="0" w:noVBand="1"/>
      </w:tblPr>
      <w:tblGrid>
        <w:gridCol w:w="2556"/>
        <w:gridCol w:w="7367"/>
      </w:tblGrid>
      <w:tr w:rsidR="00D918DE" w:rsidRPr="009A639D" w14:paraId="21AA163C" w14:textId="77777777" w:rsidTr="00CE1630">
        <w:tc>
          <w:tcPr>
            <w:tcW w:w="2556" w:type="dxa"/>
            <w:tcBorders>
              <w:top w:val="single" w:sz="4" w:space="0" w:color="999999"/>
              <w:left w:val="single" w:sz="4" w:space="0" w:color="999999"/>
              <w:bottom w:val="single" w:sz="4" w:space="0" w:color="999999"/>
              <w:right w:val="single" w:sz="4" w:space="0" w:color="999999"/>
            </w:tcBorders>
            <w:shd w:val="clear" w:color="auto" w:fill="FFFFFF"/>
          </w:tcPr>
          <w:p w14:paraId="7ED9E92B" w14:textId="77777777" w:rsidR="00D918DE" w:rsidRPr="009A639D" w:rsidRDefault="00D918DE" w:rsidP="00CE1630">
            <w:pPr>
              <w:spacing w:before="40" w:after="40"/>
              <w:jc w:val="both"/>
              <w:rPr>
                <w:rFonts w:eastAsia="Times New Roman" w:cs="Times New Roman"/>
                <w:b/>
                <w:bCs/>
                <w:color w:val="FFFFFF"/>
                <w:sz w:val="20"/>
                <w:szCs w:val="20"/>
              </w:rPr>
            </w:pPr>
            <w:r w:rsidRPr="009A639D">
              <w:rPr>
                <w:rFonts w:eastAsia="Times New Roman" w:cs="Times New Roman"/>
                <w:b/>
                <w:color w:val="000000"/>
                <w:sz w:val="20"/>
                <w:szCs w:val="20"/>
              </w:rPr>
              <w:t>Position</w:t>
            </w:r>
          </w:p>
        </w:tc>
        <w:tc>
          <w:tcPr>
            <w:tcW w:w="7367" w:type="dxa"/>
            <w:tcBorders>
              <w:top w:val="single" w:sz="4" w:space="0" w:color="999999"/>
              <w:left w:val="single" w:sz="4" w:space="0" w:color="999999"/>
              <w:bottom w:val="single" w:sz="4" w:space="0" w:color="999999"/>
              <w:right w:val="single" w:sz="4" w:space="0" w:color="999999"/>
            </w:tcBorders>
            <w:shd w:val="clear" w:color="auto" w:fill="FFFFFF"/>
            <w:hideMark/>
          </w:tcPr>
          <w:p w14:paraId="08D2FFC0" w14:textId="77777777" w:rsidR="00D918DE" w:rsidRPr="009A639D" w:rsidRDefault="00671B4C" w:rsidP="00CE1630">
            <w:pPr>
              <w:spacing w:before="40" w:after="40"/>
              <w:jc w:val="both"/>
              <w:rPr>
                <w:rFonts w:eastAsia="Times New Roman" w:cs="Times New Roman"/>
                <w:b/>
                <w:color w:val="000000"/>
                <w:sz w:val="20"/>
                <w:szCs w:val="20"/>
              </w:rPr>
            </w:pPr>
            <w:r w:rsidRPr="009A639D">
              <w:rPr>
                <w:rFonts w:eastAsia="Times New Roman" w:cs="Times New Roman"/>
                <w:b/>
                <w:color w:val="000000"/>
                <w:sz w:val="20"/>
                <w:szCs w:val="20"/>
              </w:rPr>
              <w:t>Responsibility / Governance</w:t>
            </w:r>
          </w:p>
        </w:tc>
      </w:tr>
      <w:tr w:rsidR="001838F4" w:rsidRPr="009A639D" w14:paraId="58820883" w14:textId="77777777" w:rsidTr="00CE1630">
        <w:tblPrEx>
          <w:tblBorders>
            <w:top w:val="single" w:sz="4" w:space="0" w:color="5F6062"/>
            <w:left w:val="single" w:sz="4" w:space="0" w:color="5F6062"/>
            <w:bottom w:val="single" w:sz="4" w:space="0" w:color="5F6062"/>
            <w:right w:val="single" w:sz="4" w:space="0" w:color="5F6062"/>
            <w:insideH w:val="single" w:sz="4" w:space="0" w:color="B0B1B3"/>
            <w:insideV w:val="single" w:sz="4" w:space="0" w:color="B0B1B3"/>
          </w:tblBorders>
          <w:tblLook w:val="0000" w:firstRow="0" w:lastRow="0" w:firstColumn="0" w:lastColumn="0" w:noHBand="0" w:noVBand="0"/>
        </w:tblPrEx>
        <w:tc>
          <w:tcPr>
            <w:tcW w:w="2556" w:type="dxa"/>
            <w:vAlign w:val="center"/>
          </w:tcPr>
          <w:p w14:paraId="1523B917" w14:textId="2393BCA2" w:rsidR="001838F4" w:rsidRPr="001838F4" w:rsidRDefault="001838F4" w:rsidP="001838F4">
            <w:pPr>
              <w:tabs>
                <w:tab w:val="left" w:pos="1418"/>
                <w:tab w:val="left" w:pos="6237"/>
              </w:tabs>
              <w:spacing w:before="100" w:after="100"/>
              <w:jc w:val="both"/>
              <w:rPr>
                <w:rFonts w:eastAsia="Calibri" w:cs="Arial"/>
                <w:bCs/>
                <w:color w:val="6384BD"/>
                <w:sz w:val="20"/>
                <w:szCs w:val="20"/>
              </w:rPr>
            </w:pPr>
            <w:bookmarkStart w:id="0" w:name="_Hlk152310009"/>
            <w:r w:rsidRPr="001838F4">
              <w:rPr>
                <w:rFonts w:cs="Arial"/>
                <w:color w:val="4F81BD" w:themeColor="accent1"/>
                <w:sz w:val="20"/>
                <w:szCs w:val="20"/>
              </w:rPr>
              <w:t>Heads of Centre</w:t>
            </w:r>
          </w:p>
        </w:tc>
        <w:tc>
          <w:tcPr>
            <w:tcW w:w="7367" w:type="dxa"/>
          </w:tcPr>
          <w:p w14:paraId="1680712A" w14:textId="75B84DF8" w:rsidR="001838F4" w:rsidRPr="001838F4" w:rsidRDefault="001838F4" w:rsidP="001838F4">
            <w:pPr>
              <w:tabs>
                <w:tab w:val="left" w:pos="1418"/>
                <w:tab w:val="left" w:pos="6237"/>
              </w:tabs>
              <w:spacing w:before="100" w:after="100"/>
              <w:jc w:val="both"/>
              <w:rPr>
                <w:rFonts w:eastAsia="Calibri" w:cs="Times New Roman"/>
                <w:sz w:val="20"/>
                <w:szCs w:val="20"/>
              </w:rPr>
            </w:pPr>
            <w:r w:rsidRPr="001838F4">
              <w:rPr>
                <w:rFonts w:cs="Arial"/>
                <w:sz w:val="20"/>
                <w:szCs w:val="20"/>
              </w:rPr>
              <w:t>For approving the application and eligibility criteria consistent with The Gordon’s principles of access and equity.</w:t>
            </w:r>
          </w:p>
        </w:tc>
      </w:tr>
      <w:bookmarkEnd w:id="0"/>
      <w:tr w:rsidR="001838F4" w:rsidRPr="009A639D" w14:paraId="1804DD8E" w14:textId="77777777" w:rsidTr="00CE1630">
        <w:tblPrEx>
          <w:tblBorders>
            <w:top w:val="single" w:sz="4" w:space="0" w:color="5F6062"/>
            <w:left w:val="single" w:sz="4" w:space="0" w:color="5F6062"/>
            <w:bottom w:val="single" w:sz="4" w:space="0" w:color="5F6062"/>
            <w:right w:val="single" w:sz="4" w:space="0" w:color="5F6062"/>
            <w:insideH w:val="single" w:sz="4" w:space="0" w:color="B0B1B3"/>
            <w:insideV w:val="single" w:sz="4" w:space="0" w:color="B0B1B3"/>
          </w:tblBorders>
          <w:tblLook w:val="0000" w:firstRow="0" w:lastRow="0" w:firstColumn="0" w:lastColumn="0" w:noHBand="0" w:noVBand="0"/>
        </w:tblPrEx>
        <w:tc>
          <w:tcPr>
            <w:tcW w:w="2556" w:type="dxa"/>
            <w:vAlign w:val="center"/>
          </w:tcPr>
          <w:p w14:paraId="0F8D6288" w14:textId="3A9408FF" w:rsidR="001838F4" w:rsidRPr="001838F4" w:rsidRDefault="001838F4" w:rsidP="001838F4">
            <w:pPr>
              <w:tabs>
                <w:tab w:val="left" w:pos="1418"/>
                <w:tab w:val="left" w:pos="6237"/>
              </w:tabs>
              <w:spacing w:before="100" w:after="100"/>
              <w:rPr>
                <w:rFonts w:eastAsia="Calibri" w:cs="Arial"/>
                <w:bCs/>
                <w:color w:val="6384BD"/>
                <w:sz w:val="20"/>
                <w:szCs w:val="20"/>
              </w:rPr>
            </w:pPr>
            <w:r w:rsidRPr="001838F4">
              <w:rPr>
                <w:rFonts w:cs="Arial"/>
                <w:color w:val="4F81BD" w:themeColor="accent1"/>
                <w:sz w:val="20"/>
                <w:szCs w:val="20"/>
              </w:rPr>
              <w:t>Wellbeing &amp; Inclusion Coordinator</w:t>
            </w:r>
          </w:p>
        </w:tc>
        <w:tc>
          <w:tcPr>
            <w:tcW w:w="7367" w:type="dxa"/>
          </w:tcPr>
          <w:p w14:paraId="3E09C62F" w14:textId="5C29F9AC" w:rsidR="001838F4" w:rsidRPr="001838F4" w:rsidRDefault="001838F4" w:rsidP="001838F4">
            <w:pPr>
              <w:tabs>
                <w:tab w:val="left" w:pos="1418"/>
                <w:tab w:val="left" w:pos="6237"/>
              </w:tabs>
              <w:spacing w:before="100" w:after="100"/>
              <w:jc w:val="both"/>
              <w:rPr>
                <w:rFonts w:eastAsia="Calibri" w:cs="Times New Roman"/>
                <w:sz w:val="20"/>
                <w:szCs w:val="20"/>
              </w:rPr>
            </w:pPr>
            <w:r w:rsidRPr="001838F4">
              <w:rPr>
                <w:rFonts w:cs="Arial"/>
                <w:sz w:val="20"/>
                <w:szCs w:val="20"/>
              </w:rPr>
              <w:t>For establishing the application and eligibility criteria consistent with The Gordon’s principles of access and equity.</w:t>
            </w:r>
          </w:p>
        </w:tc>
      </w:tr>
      <w:tr w:rsidR="001838F4" w:rsidRPr="009A639D" w14:paraId="6600C473" w14:textId="77777777" w:rsidTr="00CE1630">
        <w:tblPrEx>
          <w:tblBorders>
            <w:top w:val="single" w:sz="4" w:space="0" w:color="5F6062"/>
            <w:left w:val="single" w:sz="4" w:space="0" w:color="5F6062"/>
            <w:bottom w:val="single" w:sz="4" w:space="0" w:color="5F6062"/>
            <w:right w:val="single" w:sz="4" w:space="0" w:color="5F6062"/>
            <w:insideH w:val="single" w:sz="4" w:space="0" w:color="B0B1B3"/>
            <w:insideV w:val="single" w:sz="4" w:space="0" w:color="B0B1B3"/>
          </w:tblBorders>
          <w:tblLook w:val="0000" w:firstRow="0" w:lastRow="0" w:firstColumn="0" w:lastColumn="0" w:noHBand="0" w:noVBand="0"/>
        </w:tblPrEx>
        <w:tc>
          <w:tcPr>
            <w:tcW w:w="2556" w:type="dxa"/>
            <w:vAlign w:val="center"/>
          </w:tcPr>
          <w:p w14:paraId="2671693B" w14:textId="467D6EA2" w:rsidR="001838F4" w:rsidRPr="001838F4" w:rsidRDefault="001838F4" w:rsidP="001838F4">
            <w:pPr>
              <w:tabs>
                <w:tab w:val="left" w:pos="1418"/>
                <w:tab w:val="left" w:pos="6237"/>
              </w:tabs>
              <w:spacing w:before="100" w:after="100"/>
              <w:jc w:val="both"/>
              <w:rPr>
                <w:rFonts w:cs="Arial"/>
                <w:color w:val="4F81BD" w:themeColor="accent1"/>
                <w:sz w:val="20"/>
                <w:szCs w:val="20"/>
              </w:rPr>
            </w:pPr>
            <w:r w:rsidRPr="001838F4">
              <w:rPr>
                <w:rFonts w:cs="Arial"/>
                <w:color w:val="4F81BD" w:themeColor="accent1"/>
                <w:sz w:val="20"/>
                <w:szCs w:val="20"/>
              </w:rPr>
              <w:t>Residence Manager</w:t>
            </w:r>
          </w:p>
        </w:tc>
        <w:tc>
          <w:tcPr>
            <w:tcW w:w="7367" w:type="dxa"/>
          </w:tcPr>
          <w:p w14:paraId="67DEB634" w14:textId="550A042F" w:rsidR="001838F4" w:rsidRPr="001838F4" w:rsidRDefault="001838F4" w:rsidP="001838F4">
            <w:pPr>
              <w:tabs>
                <w:tab w:val="left" w:pos="1418"/>
                <w:tab w:val="left" w:pos="6237"/>
              </w:tabs>
              <w:spacing w:before="100" w:after="100"/>
              <w:jc w:val="both"/>
              <w:rPr>
                <w:rFonts w:cs="Arial"/>
                <w:sz w:val="20"/>
                <w:szCs w:val="20"/>
              </w:rPr>
            </w:pPr>
            <w:r w:rsidRPr="001838F4">
              <w:rPr>
                <w:rFonts w:cs="Arial"/>
                <w:sz w:val="20"/>
                <w:szCs w:val="20"/>
              </w:rPr>
              <w:t>For facilitating a fair and equitable application and re-application process and are responsible for student’s awareness and adherence to the Residential obligations and disciplinary processes and relevant Gordon processes and policies.</w:t>
            </w:r>
          </w:p>
        </w:tc>
      </w:tr>
    </w:tbl>
    <w:p w14:paraId="0DB45A52" w14:textId="77777777" w:rsidR="00D918DE" w:rsidRPr="009A639D" w:rsidRDefault="00D918DE" w:rsidP="008145E9">
      <w:pPr>
        <w:ind w:left="567" w:hanging="567"/>
      </w:pPr>
    </w:p>
    <w:p w14:paraId="5AF9A513" w14:textId="35A0917F" w:rsidR="00EC62B2" w:rsidRPr="009A639D" w:rsidRDefault="00EC62B2" w:rsidP="00EC62B2">
      <w:pPr>
        <w:pStyle w:val="Heading3"/>
        <w:numPr>
          <w:ilvl w:val="0"/>
          <w:numId w:val="15"/>
        </w:numPr>
        <w:ind w:left="567" w:hanging="567"/>
        <w:rPr>
          <w:color w:val="000000" w:themeColor="text1"/>
        </w:rPr>
      </w:pPr>
      <w:r w:rsidRPr="009A639D">
        <w:rPr>
          <w:color w:val="000000" w:themeColor="text1"/>
        </w:rPr>
        <w:t>Definitions</w:t>
      </w:r>
    </w:p>
    <w:p w14:paraId="1C981C23" w14:textId="77777777" w:rsidR="00EC62B2" w:rsidRPr="009A639D" w:rsidRDefault="00EC62B2" w:rsidP="00EC62B2">
      <w:pPr>
        <w:ind w:left="567" w:hanging="567"/>
        <w:rPr>
          <w:rFonts w:cs="Arial"/>
          <w:sz w:val="20"/>
          <w:szCs w:val="20"/>
        </w:rPr>
      </w:pPr>
      <w:bookmarkStart w:id="1" w:name="_Hlk139977108"/>
      <w:r w:rsidRPr="009A639D">
        <w:rPr>
          <w:rFonts w:cs="Arial"/>
          <w:color w:val="000000"/>
          <w:sz w:val="20"/>
          <w:szCs w:val="20"/>
          <w:shd w:val="clear" w:color="auto" w:fill="FFFFFF"/>
        </w:rPr>
        <w:t>There are no definitions arising under this Policy.</w:t>
      </w:r>
    </w:p>
    <w:bookmarkEnd w:id="1"/>
    <w:p w14:paraId="6A73FB70" w14:textId="77777777" w:rsidR="00EC62B2" w:rsidRPr="009A639D" w:rsidRDefault="00EC62B2" w:rsidP="008145E9">
      <w:pPr>
        <w:ind w:left="567" w:hanging="567"/>
      </w:pPr>
    </w:p>
    <w:p w14:paraId="7E81F663" w14:textId="6BFA859B" w:rsidR="00576D45" w:rsidRPr="009A639D" w:rsidRDefault="00576D45" w:rsidP="008145E9">
      <w:pPr>
        <w:pStyle w:val="Heading3"/>
        <w:numPr>
          <w:ilvl w:val="0"/>
          <w:numId w:val="15"/>
        </w:numPr>
        <w:ind w:left="567" w:hanging="567"/>
        <w:rPr>
          <w:color w:val="000000" w:themeColor="text1"/>
        </w:rPr>
      </w:pPr>
      <w:r w:rsidRPr="009A639D">
        <w:rPr>
          <w:color w:val="000000" w:themeColor="text1"/>
        </w:rPr>
        <w:t xml:space="preserve">Key </w:t>
      </w:r>
      <w:r w:rsidR="00E54430">
        <w:rPr>
          <w:color w:val="000000" w:themeColor="text1"/>
        </w:rPr>
        <w:t>A</w:t>
      </w:r>
      <w:r w:rsidRPr="009A639D">
        <w:rPr>
          <w:color w:val="000000" w:themeColor="text1"/>
        </w:rPr>
        <w:t xml:space="preserve">ligned </w:t>
      </w:r>
      <w:r w:rsidR="00E54430">
        <w:rPr>
          <w:color w:val="000000" w:themeColor="text1"/>
        </w:rPr>
        <w:t>I</w:t>
      </w:r>
      <w:r w:rsidRPr="009A639D">
        <w:rPr>
          <w:color w:val="000000" w:themeColor="text1"/>
        </w:rPr>
        <w:t xml:space="preserve">nternal </w:t>
      </w:r>
      <w:r w:rsidR="00E54430">
        <w:rPr>
          <w:color w:val="000000" w:themeColor="text1"/>
        </w:rPr>
        <w:t>D</w:t>
      </w:r>
      <w:r w:rsidRPr="009A639D">
        <w:rPr>
          <w:color w:val="000000" w:themeColor="text1"/>
        </w:rPr>
        <w:t>ocuments</w:t>
      </w:r>
    </w:p>
    <w:p w14:paraId="5AD63A16" w14:textId="62E70831" w:rsidR="00576D45" w:rsidRPr="009A639D" w:rsidRDefault="00576D45" w:rsidP="008145E9">
      <w:pPr>
        <w:tabs>
          <w:tab w:val="left" w:pos="1418"/>
          <w:tab w:val="left" w:pos="6237"/>
        </w:tabs>
        <w:rPr>
          <w:rFonts w:cs="Arial"/>
          <w:sz w:val="20"/>
          <w:szCs w:val="20"/>
        </w:rPr>
      </w:pPr>
      <w:bookmarkStart w:id="2" w:name="_Hlk152310272"/>
      <w:bookmarkStart w:id="3" w:name="_Hlk138170182"/>
      <w:r w:rsidRPr="009A639D">
        <w:rPr>
          <w:rFonts w:cs="Arial"/>
          <w:sz w:val="20"/>
          <w:szCs w:val="20"/>
        </w:rPr>
        <w:t xml:space="preserve">Refer to the </w:t>
      </w:r>
      <w:hyperlink r:id="rId8" w:history="1">
        <w:r w:rsidRPr="009A639D">
          <w:rPr>
            <w:rStyle w:val="Hyperlink"/>
            <w:rFonts w:cs="Arial"/>
            <w:i/>
            <w:color w:val="4F81BD" w:themeColor="accent1"/>
            <w:sz w:val="20"/>
            <w:szCs w:val="20"/>
          </w:rPr>
          <w:t>Operational Management System (OMS)</w:t>
        </w:r>
      </w:hyperlink>
      <w:r w:rsidRPr="009A639D">
        <w:rPr>
          <w:rFonts w:cs="Arial"/>
          <w:sz w:val="20"/>
          <w:szCs w:val="20"/>
        </w:rPr>
        <w:t xml:space="preserve"> for copies of all policies, procedures and supporting documents.</w:t>
      </w:r>
      <w:r w:rsidR="00430B79">
        <w:rPr>
          <w:rFonts w:cs="Arial"/>
          <w:sz w:val="20"/>
          <w:szCs w:val="20"/>
        </w:rPr>
        <w:t xml:space="preserve"> </w:t>
      </w:r>
    </w:p>
    <w:bookmarkEnd w:id="2"/>
    <w:p w14:paraId="4183B27E" w14:textId="77777777" w:rsidR="001838F4" w:rsidRPr="001838F4" w:rsidRDefault="001838F4" w:rsidP="001838F4">
      <w:pPr>
        <w:spacing w:before="230" w:line="360" w:lineRule="auto"/>
        <w:ind w:right="29"/>
        <w:rPr>
          <w:i/>
          <w:color w:val="000000" w:themeColor="text1"/>
          <w:sz w:val="20"/>
          <w:szCs w:val="20"/>
        </w:rPr>
      </w:pPr>
      <w:r w:rsidRPr="001838F4">
        <w:rPr>
          <w:i/>
          <w:color w:val="000000" w:themeColor="text1"/>
          <w:spacing w:val="-2"/>
          <w:sz w:val="20"/>
          <w:szCs w:val="20"/>
        </w:rPr>
        <w:t>Student Residence Handbook SS RD 04.01</w:t>
      </w:r>
      <w:r w:rsidRPr="001838F4">
        <w:rPr>
          <w:i/>
          <w:color w:val="000000" w:themeColor="text1"/>
          <w:spacing w:val="-2"/>
          <w:sz w:val="20"/>
          <w:szCs w:val="20"/>
        </w:rPr>
        <w:br/>
        <w:t>Application for Admission to the Student Residence Form SS FO 04.01</w:t>
      </w:r>
      <w:r w:rsidRPr="001838F4">
        <w:rPr>
          <w:i/>
          <w:color w:val="000000" w:themeColor="text1"/>
          <w:spacing w:val="-2"/>
          <w:sz w:val="20"/>
          <w:szCs w:val="20"/>
        </w:rPr>
        <w:br/>
        <w:t>Short-term Accommodation Application Agreement SS FO 04.02</w:t>
      </w:r>
      <w:r w:rsidRPr="001838F4">
        <w:rPr>
          <w:i/>
          <w:color w:val="000000" w:themeColor="text1"/>
          <w:spacing w:val="-2"/>
          <w:sz w:val="20"/>
          <w:szCs w:val="20"/>
        </w:rPr>
        <w:br/>
        <w:t>Student Residence Licence Agreement SS FO 04.03</w:t>
      </w:r>
      <w:r w:rsidRPr="001838F4">
        <w:rPr>
          <w:i/>
          <w:color w:val="000000" w:themeColor="text1"/>
          <w:spacing w:val="-2"/>
          <w:sz w:val="20"/>
          <w:szCs w:val="20"/>
        </w:rPr>
        <w:br/>
        <w:t>Student</w:t>
      </w:r>
      <w:r w:rsidRPr="001838F4">
        <w:rPr>
          <w:i/>
          <w:color w:val="000000" w:themeColor="text1"/>
          <w:spacing w:val="-6"/>
          <w:sz w:val="20"/>
          <w:szCs w:val="20"/>
        </w:rPr>
        <w:t xml:space="preserve"> </w:t>
      </w:r>
      <w:r w:rsidRPr="001838F4">
        <w:rPr>
          <w:i/>
          <w:color w:val="000000" w:themeColor="text1"/>
          <w:spacing w:val="-2"/>
          <w:sz w:val="20"/>
          <w:szCs w:val="20"/>
        </w:rPr>
        <w:t>Misconduct</w:t>
      </w:r>
      <w:r w:rsidRPr="001838F4">
        <w:rPr>
          <w:i/>
          <w:color w:val="000000" w:themeColor="text1"/>
          <w:spacing w:val="-8"/>
          <w:sz w:val="20"/>
          <w:szCs w:val="20"/>
        </w:rPr>
        <w:t xml:space="preserve"> </w:t>
      </w:r>
      <w:r w:rsidRPr="001838F4">
        <w:rPr>
          <w:i/>
          <w:color w:val="000000" w:themeColor="text1"/>
          <w:spacing w:val="-2"/>
          <w:sz w:val="20"/>
          <w:szCs w:val="20"/>
        </w:rPr>
        <w:t>Management</w:t>
      </w:r>
      <w:r w:rsidRPr="001838F4">
        <w:rPr>
          <w:i/>
          <w:color w:val="000000" w:themeColor="text1"/>
          <w:spacing w:val="-5"/>
          <w:sz w:val="20"/>
          <w:szCs w:val="20"/>
        </w:rPr>
        <w:t xml:space="preserve"> </w:t>
      </w:r>
      <w:r w:rsidRPr="001838F4">
        <w:rPr>
          <w:i/>
          <w:color w:val="000000" w:themeColor="text1"/>
          <w:spacing w:val="-2"/>
          <w:sz w:val="20"/>
          <w:szCs w:val="20"/>
        </w:rPr>
        <w:t>Procedure</w:t>
      </w:r>
      <w:r w:rsidRPr="001838F4">
        <w:rPr>
          <w:i/>
          <w:color w:val="000000" w:themeColor="text1"/>
          <w:spacing w:val="-11"/>
          <w:sz w:val="20"/>
          <w:szCs w:val="20"/>
        </w:rPr>
        <w:t xml:space="preserve"> </w:t>
      </w:r>
      <w:r w:rsidRPr="001838F4">
        <w:rPr>
          <w:i/>
          <w:color w:val="000000" w:themeColor="text1"/>
          <w:spacing w:val="-2"/>
          <w:sz w:val="20"/>
          <w:szCs w:val="20"/>
        </w:rPr>
        <w:t>QA</w:t>
      </w:r>
      <w:r w:rsidRPr="001838F4">
        <w:rPr>
          <w:i/>
          <w:color w:val="000000" w:themeColor="text1"/>
          <w:spacing w:val="-9"/>
          <w:sz w:val="20"/>
          <w:szCs w:val="20"/>
        </w:rPr>
        <w:t xml:space="preserve"> </w:t>
      </w:r>
      <w:r w:rsidRPr="001838F4">
        <w:rPr>
          <w:i/>
          <w:color w:val="000000" w:themeColor="text1"/>
          <w:spacing w:val="-2"/>
          <w:sz w:val="20"/>
          <w:szCs w:val="20"/>
        </w:rPr>
        <w:t xml:space="preserve">PR 11 </w:t>
      </w:r>
      <w:r w:rsidRPr="001838F4">
        <w:rPr>
          <w:i/>
          <w:color w:val="000000" w:themeColor="text1"/>
          <w:spacing w:val="-2"/>
          <w:sz w:val="20"/>
          <w:szCs w:val="20"/>
        </w:rPr>
        <w:br/>
      </w:r>
      <w:r w:rsidRPr="001838F4">
        <w:rPr>
          <w:i/>
          <w:color w:val="000000" w:themeColor="text1"/>
          <w:sz w:val="20"/>
          <w:szCs w:val="20"/>
        </w:rPr>
        <w:t xml:space="preserve">The Student Code of Conduct QA RD 11.01 </w:t>
      </w:r>
      <w:r w:rsidRPr="001838F4">
        <w:rPr>
          <w:i/>
          <w:color w:val="000000" w:themeColor="text1"/>
          <w:sz w:val="20"/>
          <w:szCs w:val="20"/>
        </w:rPr>
        <w:br/>
        <w:t>Complaints and Appeals Policy QA PO 10</w:t>
      </w:r>
    </w:p>
    <w:p w14:paraId="746366A9" w14:textId="77777777" w:rsidR="001838F4" w:rsidRPr="001838F4" w:rsidRDefault="001838F4" w:rsidP="001838F4">
      <w:pPr>
        <w:spacing w:line="229" w:lineRule="exact"/>
        <w:rPr>
          <w:i/>
          <w:color w:val="000000" w:themeColor="text1"/>
          <w:sz w:val="20"/>
          <w:szCs w:val="20"/>
        </w:rPr>
      </w:pPr>
      <w:r w:rsidRPr="001838F4">
        <w:rPr>
          <w:i/>
          <w:color w:val="000000" w:themeColor="text1"/>
          <w:sz w:val="20"/>
          <w:szCs w:val="20"/>
        </w:rPr>
        <w:t>Action</w:t>
      </w:r>
      <w:r w:rsidRPr="001838F4">
        <w:rPr>
          <w:i/>
          <w:color w:val="000000" w:themeColor="text1"/>
          <w:spacing w:val="-5"/>
          <w:sz w:val="20"/>
          <w:szCs w:val="20"/>
        </w:rPr>
        <w:t xml:space="preserve"> </w:t>
      </w:r>
      <w:r w:rsidRPr="001838F4">
        <w:rPr>
          <w:i/>
          <w:color w:val="000000" w:themeColor="text1"/>
          <w:sz w:val="20"/>
          <w:szCs w:val="20"/>
        </w:rPr>
        <w:t>Form</w:t>
      </w:r>
      <w:r w:rsidRPr="001838F4">
        <w:rPr>
          <w:i/>
          <w:color w:val="000000" w:themeColor="text1"/>
          <w:spacing w:val="-5"/>
          <w:sz w:val="20"/>
          <w:szCs w:val="20"/>
        </w:rPr>
        <w:t xml:space="preserve"> </w:t>
      </w:r>
      <w:r w:rsidRPr="001838F4">
        <w:rPr>
          <w:i/>
          <w:color w:val="000000" w:themeColor="text1"/>
          <w:sz w:val="20"/>
          <w:szCs w:val="20"/>
        </w:rPr>
        <w:t>QA</w:t>
      </w:r>
      <w:r w:rsidRPr="001838F4">
        <w:rPr>
          <w:i/>
          <w:color w:val="000000" w:themeColor="text1"/>
          <w:spacing w:val="-5"/>
          <w:sz w:val="20"/>
          <w:szCs w:val="20"/>
        </w:rPr>
        <w:t xml:space="preserve"> </w:t>
      </w:r>
      <w:r w:rsidRPr="001838F4">
        <w:rPr>
          <w:i/>
          <w:color w:val="000000" w:themeColor="text1"/>
          <w:sz w:val="20"/>
          <w:szCs w:val="20"/>
        </w:rPr>
        <w:t>FO</w:t>
      </w:r>
      <w:r w:rsidRPr="001838F4">
        <w:rPr>
          <w:i/>
          <w:color w:val="000000" w:themeColor="text1"/>
          <w:spacing w:val="-2"/>
          <w:sz w:val="20"/>
          <w:szCs w:val="20"/>
        </w:rPr>
        <w:t xml:space="preserve"> </w:t>
      </w:r>
      <w:r w:rsidRPr="001838F4">
        <w:rPr>
          <w:i/>
          <w:color w:val="000000" w:themeColor="text1"/>
          <w:spacing w:val="-4"/>
          <w:sz w:val="20"/>
          <w:szCs w:val="20"/>
        </w:rPr>
        <w:t>05.01</w:t>
      </w:r>
    </w:p>
    <w:p w14:paraId="246647E6" w14:textId="0B3E329C" w:rsidR="001838F4" w:rsidRPr="001838F4" w:rsidRDefault="001838F4" w:rsidP="001838F4">
      <w:pPr>
        <w:spacing w:before="115" w:line="357" w:lineRule="auto"/>
        <w:ind w:right="95"/>
        <w:rPr>
          <w:i/>
          <w:color w:val="000000" w:themeColor="text1"/>
          <w:sz w:val="20"/>
          <w:szCs w:val="20"/>
        </w:rPr>
      </w:pPr>
      <w:r w:rsidRPr="001838F4">
        <w:rPr>
          <w:i/>
          <w:color w:val="000000" w:themeColor="text1"/>
          <w:sz w:val="20"/>
          <w:szCs w:val="20"/>
        </w:rPr>
        <w:t xml:space="preserve">Critical Incident Management RISK PR </w:t>
      </w:r>
      <w:r>
        <w:rPr>
          <w:i/>
          <w:color w:val="000000" w:themeColor="text1"/>
          <w:sz w:val="20"/>
          <w:szCs w:val="20"/>
        </w:rPr>
        <w:t>0</w:t>
      </w:r>
      <w:r w:rsidRPr="001838F4">
        <w:rPr>
          <w:i/>
          <w:color w:val="000000" w:themeColor="text1"/>
          <w:sz w:val="20"/>
          <w:szCs w:val="20"/>
        </w:rPr>
        <w:t xml:space="preserve">6 </w:t>
      </w:r>
    </w:p>
    <w:p w14:paraId="02E1089E" w14:textId="77777777" w:rsidR="001838F4" w:rsidRPr="001838F4" w:rsidRDefault="001838F4" w:rsidP="001838F4">
      <w:pPr>
        <w:spacing w:before="4"/>
        <w:rPr>
          <w:i/>
          <w:color w:val="000000" w:themeColor="text1"/>
          <w:spacing w:val="-2"/>
          <w:sz w:val="20"/>
          <w:szCs w:val="20"/>
        </w:rPr>
      </w:pPr>
      <w:r w:rsidRPr="001838F4">
        <w:rPr>
          <w:i/>
          <w:color w:val="000000" w:themeColor="text1"/>
          <w:sz w:val="20"/>
          <w:szCs w:val="20"/>
        </w:rPr>
        <w:t>Child</w:t>
      </w:r>
      <w:r w:rsidRPr="001838F4">
        <w:rPr>
          <w:i/>
          <w:color w:val="000000" w:themeColor="text1"/>
          <w:spacing w:val="-5"/>
          <w:sz w:val="20"/>
          <w:szCs w:val="20"/>
        </w:rPr>
        <w:t xml:space="preserve"> </w:t>
      </w:r>
      <w:r w:rsidRPr="001838F4">
        <w:rPr>
          <w:i/>
          <w:color w:val="000000" w:themeColor="text1"/>
          <w:sz w:val="20"/>
          <w:szCs w:val="20"/>
        </w:rPr>
        <w:t>Safe</w:t>
      </w:r>
      <w:r w:rsidRPr="001838F4">
        <w:rPr>
          <w:i/>
          <w:color w:val="000000" w:themeColor="text1"/>
          <w:spacing w:val="-7"/>
          <w:sz w:val="20"/>
          <w:szCs w:val="20"/>
        </w:rPr>
        <w:t xml:space="preserve"> </w:t>
      </w:r>
      <w:r w:rsidRPr="001838F4">
        <w:rPr>
          <w:i/>
          <w:color w:val="000000" w:themeColor="text1"/>
          <w:sz w:val="20"/>
          <w:szCs w:val="20"/>
        </w:rPr>
        <w:t>Standards</w:t>
      </w:r>
      <w:r w:rsidRPr="001838F4">
        <w:rPr>
          <w:i/>
          <w:color w:val="000000" w:themeColor="text1"/>
          <w:spacing w:val="-6"/>
          <w:sz w:val="20"/>
          <w:szCs w:val="20"/>
        </w:rPr>
        <w:t xml:space="preserve"> </w:t>
      </w:r>
      <w:r w:rsidRPr="001838F4">
        <w:rPr>
          <w:i/>
          <w:color w:val="000000" w:themeColor="text1"/>
          <w:sz w:val="20"/>
          <w:szCs w:val="20"/>
        </w:rPr>
        <w:t>/</w:t>
      </w:r>
      <w:r w:rsidRPr="001838F4">
        <w:rPr>
          <w:i/>
          <w:color w:val="000000" w:themeColor="text1"/>
          <w:spacing w:val="-5"/>
          <w:sz w:val="20"/>
          <w:szCs w:val="20"/>
        </w:rPr>
        <w:t xml:space="preserve"> </w:t>
      </w:r>
      <w:r w:rsidRPr="001838F4">
        <w:rPr>
          <w:i/>
          <w:color w:val="000000" w:themeColor="text1"/>
          <w:sz w:val="20"/>
          <w:szCs w:val="20"/>
        </w:rPr>
        <w:t>Statement</w:t>
      </w:r>
      <w:r w:rsidRPr="001838F4">
        <w:rPr>
          <w:i/>
          <w:color w:val="000000" w:themeColor="text1"/>
          <w:spacing w:val="-7"/>
          <w:sz w:val="20"/>
          <w:szCs w:val="20"/>
        </w:rPr>
        <w:t xml:space="preserve"> </w:t>
      </w:r>
      <w:r w:rsidRPr="001838F4">
        <w:rPr>
          <w:i/>
          <w:color w:val="000000" w:themeColor="text1"/>
          <w:sz w:val="20"/>
          <w:szCs w:val="20"/>
        </w:rPr>
        <w:t>of</w:t>
      </w:r>
      <w:r w:rsidRPr="001838F4">
        <w:rPr>
          <w:i/>
          <w:color w:val="000000" w:themeColor="text1"/>
          <w:spacing w:val="-5"/>
          <w:sz w:val="20"/>
          <w:szCs w:val="20"/>
        </w:rPr>
        <w:t xml:space="preserve"> </w:t>
      </w:r>
      <w:r w:rsidRPr="001838F4">
        <w:rPr>
          <w:i/>
          <w:color w:val="000000" w:themeColor="text1"/>
          <w:sz w:val="20"/>
          <w:szCs w:val="20"/>
        </w:rPr>
        <w:t>Commitment</w:t>
      </w:r>
      <w:r w:rsidRPr="001838F4">
        <w:rPr>
          <w:i/>
          <w:color w:val="000000" w:themeColor="text1"/>
          <w:spacing w:val="-8"/>
          <w:sz w:val="20"/>
          <w:szCs w:val="20"/>
        </w:rPr>
        <w:t xml:space="preserve"> </w:t>
      </w:r>
      <w:r w:rsidRPr="001838F4">
        <w:rPr>
          <w:i/>
          <w:color w:val="000000" w:themeColor="text1"/>
          <w:sz w:val="20"/>
          <w:szCs w:val="20"/>
        </w:rPr>
        <w:t>RISK</w:t>
      </w:r>
      <w:r w:rsidRPr="001838F4">
        <w:rPr>
          <w:i/>
          <w:color w:val="000000" w:themeColor="text1"/>
          <w:spacing w:val="-6"/>
          <w:sz w:val="20"/>
          <w:szCs w:val="20"/>
        </w:rPr>
        <w:t xml:space="preserve"> </w:t>
      </w:r>
      <w:r w:rsidRPr="001838F4">
        <w:rPr>
          <w:i/>
          <w:color w:val="000000" w:themeColor="text1"/>
          <w:sz w:val="20"/>
          <w:szCs w:val="20"/>
        </w:rPr>
        <w:t>RD</w:t>
      </w:r>
      <w:r w:rsidRPr="001838F4">
        <w:rPr>
          <w:i/>
          <w:color w:val="000000" w:themeColor="text1"/>
          <w:spacing w:val="-5"/>
          <w:sz w:val="20"/>
          <w:szCs w:val="20"/>
        </w:rPr>
        <w:t xml:space="preserve"> </w:t>
      </w:r>
      <w:r w:rsidRPr="001838F4">
        <w:rPr>
          <w:i/>
          <w:color w:val="000000" w:themeColor="text1"/>
          <w:spacing w:val="-2"/>
          <w:sz w:val="20"/>
          <w:szCs w:val="20"/>
        </w:rPr>
        <w:t>15.02</w:t>
      </w:r>
    </w:p>
    <w:p w14:paraId="250DB739" w14:textId="54322A7F" w:rsidR="001838F4" w:rsidRPr="009A639D" w:rsidRDefault="001838F4" w:rsidP="001838F4">
      <w:pPr>
        <w:spacing w:before="115" w:line="357" w:lineRule="auto"/>
        <w:ind w:right="95"/>
        <w:rPr>
          <w:i/>
          <w:color w:val="000000" w:themeColor="text1"/>
        </w:rPr>
      </w:pPr>
      <w:r w:rsidRPr="001838F4">
        <w:rPr>
          <w:i/>
          <w:color w:val="000000" w:themeColor="text1"/>
          <w:sz w:val="20"/>
          <w:szCs w:val="20"/>
        </w:rPr>
        <w:t>Alcohol</w:t>
      </w:r>
      <w:r w:rsidRPr="001838F4">
        <w:rPr>
          <w:i/>
          <w:color w:val="000000" w:themeColor="text1"/>
          <w:spacing w:val="-6"/>
          <w:sz w:val="20"/>
          <w:szCs w:val="20"/>
        </w:rPr>
        <w:t xml:space="preserve"> </w:t>
      </w:r>
      <w:r w:rsidRPr="001838F4">
        <w:rPr>
          <w:i/>
          <w:color w:val="000000" w:themeColor="text1"/>
          <w:sz w:val="20"/>
          <w:szCs w:val="20"/>
        </w:rPr>
        <w:t>and</w:t>
      </w:r>
      <w:r w:rsidRPr="001838F4">
        <w:rPr>
          <w:i/>
          <w:color w:val="000000" w:themeColor="text1"/>
          <w:spacing w:val="-7"/>
          <w:sz w:val="20"/>
          <w:szCs w:val="20"/>
        </w:rPr>
        <w:t xml:space="preserve"> </w:t>
      </w:r>
      <w:r w:rsidRPr="001838F4">
        <w:rPr>
          <w:i/>
          <w:color w:val="000000" w:themeColor="text1"/>
          <w:sz w:val="20"/>
          <w:szCs w:val="20"/>
        </w:rPr>
        <w:t>Other</w:t>
      </w:r>
      <w:r w:rsidRPr="001838F4">
        <w:rPr>
          <w:i/>
          <w:color w:val="000000" w:themeColor="text1"/>
          <w:spacing w:val="-7"/>
          <w:sz w:val="20"/>
          <w:szCs w:val="20"/>
        </w:rPr>
        <w:t xml:space="preserve"> </w:t>
      </w:r>
      <w:r w:rsidRPr="001838F4">
        <w:rPr>
          <w:i/>
          <w:color w:val="000000" w:themeColor="text1"/>
          <w:sz w:val="20"/>
          <w:szCs w:val="20"/>
        </w:rPr>
        <w:t>Drugs</w:t>
      </w:r>
      <w:r w:rsidRPr="001838F4">
        <w:rPr>
          <w:i/>
          <w:color w:val="000000" w:themeColor="text1"/>
          <w:spacing w:val="-6"/>
          <w:sz w:val="20"/>
          <w:szCs w:val="20"/>
        </w:rPr>
        <w:t xml:space="preserve"> </w:t>
      </w:r>
      <w:r w:rsidRPr="001838F4">
        <w:rPr>
          <w:i/>
          <w:color w:val="000000" w:themeColor="text1"/>
          <w:sz w:val="20"/>
          <w:szCs w:val="20"/>
        </w:rPr>
        <w:t>Policy</w:t>
      </w:r>
      <w:r w:rsidRPr="001838F4">
        <w:rPr>
          <w:i/>
          <w:color w:val="000000" w:themeColor="text1"/>
          <w:spacing w:val="-6"/>
          <w:sz w:val="20"/>
          <w:szCs w:val="20"/>
        </w:rPr>
        <w:t xml:space="preserve"> </w:t>
      </w:r>
      <w:r w:rsidRPr="001838F4">
        <w:rPr>
          <w:i/>
          <w:color w:val="000000" w:themeColor="text1"/>
          <w:sz w:val="20"/>
          <w:szCs w:val="20"/>
        </w:rPr>
        <w:t>RISK</w:t>
      </w:r>
      <w:r w:rsidRPr="001838F4">
        <w:rPr>
          <w:i/>
          <w:color w:val="000000" w:themeColor="text1"/>
          <w:spacing w:val="-5"/>
          <w:sz w:val="20"/>
          <w:szCs w:val="20"/>
        </w:rPr>
        <w:t xml:space="preserve"> </w:t>
      </w:r>
      <w:r w:rsidRPr="001838F4">
        <w:rPr>
          <w:i/>
          <w:color w:val="000000" w:themeColor="text1"/>
          <w:sz w:val="20"/>
          <w:szCs w:val="20"/>
        </w:rPr>
        <w:t>PO</w:t>
      </w:r>
      <w:r w:rsidRPr="001838F4">
        <w:rPr>
          <w:i/>
          <w:color w:val="000000" w:themeColor="text1"/>
          <w:spacing w:val="-6"/>
          <w:sz w:val="20"/>
          <w:szCs w:val="20"/>
        </w:rPr>
        <w:t xml:space="preserve"> </w:t>
      </w:r>
      <w:r w:rsidRPr="001838F4">
        <w:rPr>
          <w:i/>
          <w:color w:val="000000" w:themeColor="text1"/>
          <w:sz w:val="20"/>
          <w:szCs w:val="20"/>
        </w:rPr>
        <w:t>17</w:t>
      </w:r>
    </w:p>
    <w:bookmarkEnd w:id="3"/>
    <w:p w14:paraId="175CAEBE" w14:textId="77777777" w:rsidR="00E43197" w:rsidRPr="009A639D" w:rsidRDefault="00E43197" w:rsidP="008145E9">
      <w:pPr>
        <w:ind w:left="567" w:hanging="567"/>
        <w:rPr>
          <w:lang w:val="en-US"/>
        </w:rPr>
      </w:pPr>
    </w:p>
    <w:p w14:paraId="59A86C3D" w14:textId="04E48EA9" w:rsidR="00E43197" w:rsidRPr="009A639D" w:rsidRDefault="00E43197" w:rsidP="008145E9">
      <w:pPr>
        <w:pStyle w:val="Heading3"/>
        <w:numPr>
          <w:ilvl w:val="0"/>
          <w:numId w:val="15"/>
        </w:numPr>
        <w:ind w:left="567" w:hanging="567"/>
        <w:rPr>
          <w:color w:val="000000" w:themeColor="text1"/>
          <w:lang w:val="en-US"/>
        </w:rPr>
      </w:pPr>
      <w:r w:rsidRPr="009A639D">
        <w:rPr>
          <w:color w:val="000000" w:themeColor="text1"/>
          <w:lang w:val="en-US"/>
        </w:rPr>
        <w:t xml:space="preserve">Key Aligned Legislation / </w:t>
      </w:r>
      <w:r w:rsidR="00217EA1">
        <w:rPr>
          <w:color w:val="000000" w:themeColor="text1"/>
          <w:lang w:val="en-US"/>
        </w:rPr>
        <w:t>Documents</w:t>
      </w:r>
    </w:p>
    <w:p w14:paraId="66FB7F12" w14:textId="77777777" w:rsidR="001838F4" w:rsidRPr="001838F4" w:rsidRDefault="001838F4" w:rsidP="001838F4">
      <w:pPr>
        <w:spacing w:line="360" w:lineRule="auto"/>
        <w:ind w:right="170"/>
        <w:rPr>
          <w:i/>
          <w:color w:val="6284BC"/>
          <w:sz w:val="20"/>
          <w:szCs w:val="20"/>
          <w:u w:val="single"/>
        </w:rPr>
      </w:pPr>
      <w:bookmarkStart w:id="4" w:name="_Hlk139977369"/>
      <w:r w:rsidRPr="001838F4">
        <w:rPr>
          <w:i/>
          <w:color w:val="6284BC"/>
          <w:sz w:val="20"/>
          <w:szCs w:val="20"/>
          <w:u w:val="single"/>
        </w:rPr>
        <w:t>Occupational</w:t>
      </w:r>
      <w:r w:rsidRPr="001838F4">
        <w:rPr>
          <w:i/>
          <w:color w:val="6284BC"/>
          <w:spacing w:val="-12"/>
          <w:sz w:val="20"/>
          <w:szCs w:val="20"/>
          <w:u w:val="single"/>
        </w:rPr>
        <w:t xml:space="preserve"> </w:t>
      </w:r>
      <w:r w:rsidRPr="001838F4">
        <w:rPr>
          <w:i/>
          <w:color w:val="6284BC"/>
          <w:sz w:val="20"/>
          <w:szCs w:val="20"/>
          <w:u w:val="single"/>
        </w:rPr>
        <w:t>Health</w:t>
      </w:r>
      <w:r w:rsidRPr="001838F4">
        <w:rPr>
          <w:i/>
          <w:color w:val="6284BC"/>
          <w:spacing w:val="-14"/>
          <w:sz w:val="20"/>
          <w:szCs w:val="20"/>
          <w:u w:val="single"/>
        </w:rPr>
        <w:t xml:space="preserve"> </w:t>
      </w:r>
      <w:r w:rsidRPr="001838F4">
        <w:rPr>
          <w:i/>
          <w:color w:val="6284BC"/>
          <w:sz w:val="20"/>
          <w:szCs w:val="20"/>
          <w:u w:val="single"/>
        </w:rPr>
        <w:t>and</w:t>
      </w:r>
      <w:r w:rsidRPr="001838F4">
        <w:rPr>
          <w:i/>
          <w:color w:val="6284BC"/>
          <w:spacing w:val="-11"/>
          <w:sz w:val="20"/>
          <w:szCs w:val="20"/>
          <w:u w:val="single"/>
        </w:rPr>
        <w:t xml:space="preserve"> </w:t>
      </w:r>
      <w:r w:rsidRPr="001838F4">
        <w:rPr>
          <w:i/>
          <w:color w:val="6284BC"/>
          <w:sz w:val="20"/>
          <w:szCs w:val="20"/>
          <w:u w:val="single"/>
        </w:rPr>
        <w:t>Safety</w:t>
      </w:r>
      <w:r w:rsidRPr="001838F4">
        <w:rPr>
          <w:i/>
          <w:color w:val="6284BC"/>
          <w:spacing w:val="-11"/>
          <w:sz w:val="20"/>
          <w:szCs w:val="20"/>
          <w:u w:val="single"/>
        </w:rPr>
        <w:t xml:space="preserve"> </w:t>
      </w:r>
      <w:r w:rsidRPr="001838F4">
        <w:rPr>
          <w:i/>
          <w:color w:val="6284BC"/>
          <w:sz w:val="20"/>
          <w:szCs w:val="20"/>
          <w:u w:val="single"/>
        </w:rPr>
        <w:t>Act</w:t>
      </w:r>
      <w:r w:rsidRPr="001838F4">
        <w:rPr>
          <w:i/>
          <w:color w:val="6284BC"/>
          <w:spacing w:val="-12"/>
          <w:sz w:val="20"/>
          <w:szCs w:val="20"/>
          <w:u w:val="single"/>
        </w:rPr>
        <w:t xml:space="preserve"> </w:t>
      </w:r>
      <w:r w:rsidRPr="001838F4">
        <w:rPr>
          <w:i/>
          <w:color w:val="6284BC"/>
          <w:sz w:val="20"/>
          <w:szCs w:val="20"/>
          <w:u w:val="single"/>
        </w:rPr>
        <w:t>2004</w:t>
      </w:r>
      <w:r w:rsidRPr="001838F4">
        <w:rPr>
          <w:i/>
          <w:color w:val="6284BC"/>
          <w:spacing w:val="-14"/>
          <w:sz w:val="20"/>
          <w:szCs w:val="20"/>
          <w:u w:val="single"/>
        </w:rPr>
        <w:t xml:space="preserve"> </w:t>
      </w:r>
      <w:r w:rsidRPr="001838F4">
        <w:rPr>
          <w:i/>
          <w:color w:val="6284BC"/>
          <w:sz w:val="20"/>
          <w:szCs w:val="20"/>
          <w:u w:val="single"/>
        </w:rPr>
        <w:t>(Vic)</w:t>
      </w:r>
    </w:p>
    <w:p w14:paraId="5946B6CB" w14:textId="77777777" w:rsidR="001838F4" w:rsidRPr="001838F4" w:rsidRDefault="00976EB2" w:rsidP="001838F4">
      <w:pPr>
        <w:spacing w:line="360" w:lineRule="auto"/>
        <w:ind w:right="2438"/>
        <w:rPr>
          <w:i/>
          <w:color w:val="0000FF"/>
          <w:sz w:val="20"/>
          <w:szCs w:val="20"/>
          <w:u w:val="single"/>
        </w:rPr>
      </w:pPr>
      <w:hyperlink r:id="rId9">
        <w:r w:rsidR="001838F4" w:rsidRPr="001838F4">
          <w:rPr>
            <w:i/>
            <w:color w:val="0000FF"/>
            <w:sz w:val="20"/>
            <w:szCs w:val="20"/>
            <w:u w:val="single"/>
          </w:rPr>
          <w:t>Occupational</w:t>
        </w:r>
        <w:r w:rsidR="001838F4" w:rsidRPr="001838F4">
          <w:rPr>
            <w:i/>
            <w:color w:val="0000FF"/>
            <w:spacing w:val="-7"/>
            <w:sz w:val="20"/>
            <w:szCs w:val="20"/>
            <w:u w:val="single"/>
          </w:rPr>
          <w:t xml:space="preserve"> </w:t>
        </w:r>
        <w:r w:rsidR="001838F4" w:rsidRPr="001838F4">
          <w:rPr>
            <w:i/>
            <w:color w:val="0000FF"/>
            <w:sz w:val="20"/>
            <w:szCs w:val="20"/>
            <w:u w:val="single"/>
          </w:rPr>
          <w:t>Health</w:t>
        </w:r>
        <w:r w:rsidR="001838F4" w:rsidRPr="001838F4">
          <w:rPr>
            <w:i/>
            <w:color w:val="0000FF"/>
            <w:spacing w:val="-8"/>
            <w:sz w:val="20"/>
            <w:szCs w:val="20"/>
            <w:u w:val="single"/>
          </w:rPr>
          <w:t xml:space="preserve"> </w:t>
        </w:r>
        <w:r w:rsidR="001838F4" w:rsidRPr="001838F4">
          <w:rPr>
            <w:i/>
            <w:color w:val="0000FF"/>
            <w:sz w:val="20"/>
            <w:szCs w:val="20"/>
            <w:u w:val="single"/>
          </w:rPr>
          <w:t>and</w:t>
        </w:r>
        <w:r w:rsidR="001838F4" w:rsidRPr="001838F4">
          <w:rPr>
            <w:i/>
            <w:color w:val="0000FF"/>
            <w:spacing w:val="-8"/>
            <w:sz w:val="20"/>
            <w:szCs w:val="20"/>
            <w:u w:val="single"/>
          </w:rPr>
          <w:t xml:space="preserve"> </w:t>
        </w:r>
        <w:r w:rsidR="001838F4" w:rsidRPr="001838F4">
          <w:rPr>
            <w:i/>
            <w:color w:val="0000FF"/>
            <w:sz w:val="20"/>
            <w:szCs w:val="20"/>
            <w:u w:val="single"/>
          </w:rPr>
          <w:t>Safety</w:t>
        </w:r>
        <w:r w:rsidR="001838F4" w:rsidRPr="001838F4">
          <w:rPr>
            <w:i/>
            <w:color w:val="0000FF"/>
            <w:spacing w:val="-11"/>
            <w:sz w:val="20"/>
            <w:szCs w:val="20"/>
            <w:u w:val="single"/>
          </w:rPr>
          <w:t xml:space="preserve"> </w:t>
        </w:r>
        <w:r w:rsidR="001838F4" w:rsidRPr="001838F4">
          <w:rPr>
            <w:i/>
            <w:color w:val="0000FF"/>
            <w:sz w:val="20"/>
            <w:szCs w:val="20"/>
            <w:u w:val="single"/>
          </w:rPr>
          <w:t>Regulations</w:t>
        </w:r>
        <w:r w:rsidR="001838F4" w:rsidRPr="001838F4">
          <w:rPr>
            <w:i/>
            <w:color w:val="0000FF"/>
            <w:spacing w:val="-7"/>
            <w:sz w:val="20"/>
            <w:szCs w:val="20"/>
            <w:u w:val="single"/>
          </w:rPr>
          <w:t xml:space="preserve"> </w:t>
        </w:r>
        <w:r w:rsidR="001838F4" w:rsidRPr="001838F4">
          <w:rPr>
            <w:i/>
            <w:color w:val="0000FF"/>
            <w:sz w:val="20"/>
            <w:szCs w:val="20"/>
            <w:u w:val="single"/>
          </w:rPr>
          <w:t>2017</w:t>
        </w:r>
      </w:hyperlink>
      <w:r w:rsidR="001838F4" w:rsidRPr="001838F4">
        <w:rPr>
          <w:i/>
          <w:color w:val="0000FF"/>
          <w:sz w:val="20"/>
          <w:szCs w:val="20"/>
          <w:u w:val="single"/>
        </w:rPr>
        <w:t xml:space="preserve"> (Vic) </w:t>
      </w:r>
    </w:p>
    <w:p w14:paraId="08DF811C" w14:textId="77777777" w:rsidR="001838F4" w:rsidRPr="00B5363B" w:rsidRDefault="00976EB2" w:rsidP="001838F4">
      <w:pPr>
        <w:spacing w:line="360" w:lineRule="auto"/>
        <w:ind w:right="5352"/>
        <w:rPr>
          <w:i/>
          <w:u w:val="single"/>
        </w:rPr>
      </w:pPr>
      <w:hyperlink r:id="rId10">
        <w:r w:rsidR="001838F4" w:rsidRPr="001838F4">
          <w:rPr>
            <w:i/>
            <w:color w:val="0000FF"/>
            <w:sz w:val="20"/>
            <w:szCs w:val="20"/>
            <w:u w:val="single"/>
          </w:rPr>
          <w:t>Child Safe Standards</w:t>
        </w:r>
      </w:hyperlink>
    </w:p>
    <w:bookmarkEnd w:id="4"/>
    <w:p w14:paraId="7FABE275" w14:textId="38D722B9" w:rsidR="00E43197" w:rsidRPr="009A639D" w:rsidRDefault="00813A0B" w:rsidP="008145E9">
      <w:pPr>
        <w:pStyle w:val="Heading3"/>
        <w:numPr>
          <w:ilvl w:val="0"/>
          <w:numId w:val="15"/>
        </w:numPr>
        <w:ind w:left="567" w:hanging="567"/>
        <w:rPr>
          <w:color w:val="000000" w:themeColor="text1"/>
          <w:lang w:val="en-US"/>
        </w:rPr>
      </w:pPr>
      <w:r>
        <w:rPr>
          <w:color w:val="000000" w:themeColor="text1"/>
          <w:lang w:val="en-US"/>
        </w:rPr>
        <w:lastRenderedPageBreak/>
        <w:t>Review and Approv</w:t>
      </w:r>
      <w:r w:rsidR="008E786A">
        <w:rPr>
          <w:color w:val="000000" w:themeColor="text1"/>
          <w:lang w:val="en-US"/>
        </w:rPr>
        <w:t>al</w:t>
      </w:r>
    </w:p>
    <w:tbl>
      <w:tblPr>
        <w:tblW w:w="9923" w:type="dxa"/>
        <w:tblInd w:w="-5" w:type="dxa"/>
        <w:tblBorders>
          <w:top w:val="single" w:sz="4" w:space="0" w:color="999999"/>
          <w:left w:val="single" w:sz="4" w:space="0" w:color="999999"/>
          <w:bottom w:val="single" w:sz="4" w:space="0" w:color="999999"/>
          <w:right w:val="single" w:sz="4" w:space="0" w:color="999999"/>
        </w:tblBorders>
        <w:tblLook w:val="04A0" w:firstRow="1" w:lastRow="0" w:firstColumn="1" w:lastColumn="0" w:noHBand="0" w:noVBand="1"/>
      </w:tblPr>
      <w:tblGrid>
        <w:gridCol w:w="2835"/>
        <w:gridCol w:w="3261"/>
        <w:gridCol w:w="1701"/>
        <w:gridCol w:w="2126"/>
      </w:tblGrid>
      <w:tr w:rsidR="00813A0B" w:rsidRPr="009A639D" w14:paraId="63BF7607" w14:textId="77777777" w:rsidTr="00876EBC">
        <w:tc>
          <w:tcPr>
            <w:tcW w:w="2835" w:type="dxa"/>
            <w:tcBorders>
              <w:top w:val="single" w:sz="4" w:space="0" w:color="999999"/>
              <w:left w:val="single" w:sz="4" w:space="0" w:color="999999"/>
              <w:bottom w:val="single" w:sz="4" w:space="0" w:color="999999"/>
              <w:right w:val="single" w:sz="4" w:space="0" w:color="999999"/>
            </w:tcBorders>
            <w:hideMark/>
          </w:tcPr>
          <w:p w14:paraId="072DA005" w14:textId="77777777" w:rsidR="00813A0B" w:rsidRPr="009A639D" w:rsidRDefault="00813A0B" w:rsidP="00E505C8">
            <w:pPr>
              <w:rPr>
                <w:rFonts w:eastAsia="Times New Roman" w:cs="Times New Roman"/>
                <w:b/>
                <w:sz w:val="20"/>
                <w:szCs w:val="20"/>
              </w:rPr>
            </w:pPr>
            <w:r w:rsidRPr="009A639D">
              <w:rPr>
                <w:rFonts w:eastAsia="Times New Roman" w:cs="Times New Roman"/>
                <w:b/>
                <w:sz w:val="20"/>
                <w:szCs w:val="20"/>
              </w:rPr>
              <w:t>Business Process Owner</w:t>
            </w:r>
          </w:p>
        </w:tc>
        <w:tc>
          <w:tcPr>
            <w:tcW w:w="7088" w:type="dxa"/>
            <w:gridSpan w:val="3"/>
            <w:tcBorders>
              <w:top w:val="single" w:sz="4" w:space="0" w:color="999999"/>
              <w:left w:val="single" w:sz="4" w:space="0" w:color="999999"/>
              <w:bottom w:val="single" w:sz="4" w:space="0" w:color="999999"/>
              <w:right w:val="single" w:sz="4" w:space="0" w:color="999999"/>
            </w:tcBorders>
          </w:tcPr>
          <w:p w14:paraId="1DEE8DB7" w14:textId="1ADDA1C5" w:rsidR="00813A0B" w:rsidRPr="009A639D" w:rsidRDefault="001838F4" w:rsidP="00E505C8">
            <w:pPr>
              <w:rPr>
                <w:rFonts w:eastAsia="Times New Roman" w:cs="Times New Roman"/>
                <w:sz w:val="20"/>
                <w:szCs w:val="20"/>
              </w:rPr>
            </w:pPr>
            <w:r>
              <w:rPr>
                <w:rFonts w:eastAsia="Times New Roman" w:cs="Times New Roman"/>
                <w:sz w:val="20"/>
                <w:szCs w:val="20"/>
              </w:rPr>
              <w:t>Head of Student Success</w:t>
            </w:r>
          </w:p>
        </w:tc>
      </w:tr>
      <w:tr w:rsidR="005135D7" w:rsidRPr="009A639D" w14:paraId="1401EF10" w14:textId="77777777" w:rsidTr="005135D7">
        <w:tc>
          <w:tcPr>
            <w:tcW w:w="2835" w:type="dxa"/>
            <w:tcBorders>
              <w:top w:val="single" w:sz="4" w:space="0" w:color="999999"/>
              <w:left w:val="single" w:sz="4" w:space="0" w:color="999999"/>
              <w:bottom w:val="single" w:sz="4" w:space="0" w:color="999999"/>
              <w:right w:val="single" w:sz="4" w:space="0" w:color="999999"/>
            </w:tcBorders>
          </w:tcPr>
          <w:p w14:paraId="431FCE7F" w14:textId="77777777" w:rsidR="005135D7" w:rsidRPr="009A639D" w:rsidRDefault="005135D7" w:rsidP="005135D7">
            <w:pPr>
              <w:rPr>
                <w:rFonts w:eastAsia="Times New Roman" w:cs="Times New Roman"/>
                <w:b/>
                <w:sz w:val="20"/>
                <w:szCs w:val="20"/>
              </w:rPr>
            </w:pPr>
            <w:r w:rsidRPr="009A639D">
              <w:rPr>
                <w:rFonts w:eastAsia="Times New Roman" w:cs="Times New Roman"/>
                <w:b/>
                <w:sz w:val="20"/>
                <w:szCs w:val="20"/>
              </w:rPr>
              <w:t>Endorsed by (if applicable)</w:t>
            </w:r>
          </w:p>
        </w:tc>
        <w:tc>
          <w:tcPr>
            <w:tcW w:w="3261" w:type="dxa"/>
            <w:tcBorders>
              <w:top w:val="single" w:sz="4" w:space="0" w:color="999999"/>
              <w:left w:val="single" w:sz="4" w:space="0" w:color="999999"/>
              <w:bottom w:val="single" w:sz="4" w:space="0" w:color="999999"/>
              <w:right w:val="single" w:sz="4" w:space="0" w:color="999999"/>
            </w:tcBorders>
          </w:tcPr>
          <w:p w14:paraId="1A971B8E" w14:textId="14B01630" w:rsidR="005135D7" w:rsidRPr="009A639D" w:rsidRDefault="009E5E2A" w:rsidP="005135D7">
            <w:pPr>
              <w:rPr>
                <w:rFonts w:eastAsia="Times New Roman" w:cs="Arial"/>
                <w:sz w:val="20"/>
                <w:szCs w:val="20"/>
              </w:rPr>
            </w:pPr>
            <w:r>
              <w:rPr>
                <w:rFonts w:eastAsia="Times New Roman" w:cs="Arial"/>
                <w:sz w:val="20"/>
                <w:szCs w:val="20"/>
              </w:rPr>
              <w:t>Not applicable</w:t>
            </w:r>
          </w:p>
        </w:tc>
        <w:tc>
          <w:tcPr>
            <w:tcW w:w="1701" w:type="dxa"/>
            <w:tcBorders>
              <w:top w:val="single" w:sz="4" w:space="0" w:color="999999"/>
              <w:left w:val="single" w:sz="4" w:space="0" w:color="999999"/>
              <w:bottom w:val="single" w:sz="4" w:space="0" w:color="999999"/>
              <w:right w:val="single" w:sz="4" w:space="0" w:color="999999"/>
            </w:tcBorders>
          </w:tcPr>
          <w:p w14:paraId="5BDCCF42" w14:textId="589A7ABE" w:rsidR="005135D7" w:rsidRPr="009A639D" w:rsidRDefault="005135D7" w:rsidP="005135D7">
            <w:pPr>
              <w:rPr>
                <w:rFonts w:eastAsia="Times New Roman" w:cs="Arial"/>
                <w:sz w:val="20"/>
                <w:szCs w:val="20"/>
              </w:rPr>
            </w:pPr>
            <w:r>
              <w:rPr>
                <w:rFonts w:eastAsia="Times New Roman" w:cs="Times New Roman"/>
                <w:b/>
                <w:sz w:val="20"/>
                <w:szCs w:val="20"/>
              </w:rPr>
              <w:t>Endorsed</w:t>
            </w:r>
            <w:r w:rsidRPr="009A639D">
              <w:rPr>
                <w:rFonts w:eastAsia="Times New Roman" w:cs="Times New Roman"/>
                <w:b/>
                <w:sz w:val="20"/>
                <w:szCs w:val="20"/>
              </w:rPr>
              <w:t xml:space="preserve"> Date</w:t>
            </w:r>
          </w:p>
        </w:tc>
        <w:tc>
          <w:tcPr>
            <w:tcW w:w="2126" w:type="dxa"/>
            <w:tcBorders>
              <w:top w:val="single" w:sz="4" w:space="0" w:color="999999"/>
              <w:left w:val="single" w:sz="4" w:space="0" w:color="999999"/>
              <w:bottom w:val="single" w:sz="4" w:space="0" w:color="999999"/>
              <w:right w:val="single" w:sz="4" w:space="0" w:color="999999"/>
            </w:tcBorders>
          </w:tcPr>
          <w:p w14:paraId="3641C3D1" w14:textId="44846DDC" w:rsidR="005135D7" w:rsidRPr="009A639D" w:rsidRDefault="005135D7" w:rsidP="005135D7">
            <w:pPr>
              <w:rPr>
                <w:rFonts w:eastAsia="Times New Roman" w:cs="Arial"/>
                <w:sz w:val="20"/>
                <w:szCs w:val="20"/>
              </w:rPr>
            </w:pPr>
          </w:p>
        </w:tc>
      </w:tr>
      <w:tr w:rsidR="005135D7" w:rsidRPr="009A639D" w14:paraId="2169B811" w14:textId="77777777" w:rsidTr="005135D7">
        <w:tc>
          <w:tcPr>
            <w:tcW w:w="2835" w:type="dxa"/>
            <w:tcBorders>
              <w:top w:val="single" w:sz="4" w:space="0" w:color="999999"/>
              <w:left w:val="single" w:sz="4" w:space="0" w:color="999999"/>
              <w:bottom w:val="single" w:sz="4" w:space="0" w:color="999999"/>
              <w:right w:val="single" w:sz="4" w:space="0" w:color="999999"/>
            </w:tcBorders>
          </w:tcPr>
          <w:p w14:paraId="293CECE4" w14:textId="77777777" w:rsidR="005135D7" w:rsidRPr="009A639D" w:rsidRDefault="005135D7" w:rsidP="005135D7">
            <w:pPr>
              <w:rPr>
                <w:rFonts w:eastAsia="Times New Roman" w:cs="Times New Roman"/>
                <w:b/>
                <w:sz w:val="20"/>
                <w:szCs w:val="20"/>
              </w:rPr>
            </w:pPr>
            <w:r w:rsidRPr="009A639D">
              <w:rPr>
                <w:rFonts w:eastAsia="Times New Roman" w:cs="Times New Roman"/>
                <w:b/>
                <w:sz w:val="20"/>
                <w:szCs w:val="20"/>
              </w:rPr>
              <w:t>Approved by (if applicable)</w:t>
            </w:r>
          </w:p>
        </w:tc>
        <w:tc>
          <w:tcPr>
            <w:tcW w:w="3261" w:type="dxa"/>
            <w:tcBorders>
              <w:top w:val="single" w:sz="4" w:space="0" w:color="999999"/>
              <w:left w:val="single" w:sz="4" w:space="0" w:color="999999"/>
              <w:bottom w:val="single" w:sz="4" w:space="0" w:color="999999"/>
              <w:right w:val="single" w:sz="4" w:space="0" w:color="999999"/>
            </w:tcBorders>
          </w:tcPr>
          <w:p w14:paraId="2158A386" w14:textId="1FC2E9E3" w:rsidR="005135D7" w:rsidRPr="009A639D" w:rsidRDefault="00C27654" w:rsidP="005135D7">
            <w:pPr>
              <w:rPr>
                <w:rFonts w:eastAsia="Times New Roman" w:cs="Arial"/>
                <w:sz w:val="20"/>
                <w:szCs w:val="20"/>
              </w:rPr>
            </w:pPr>
            <w:r>
              <w:rPr>
                <w:rFonts w:eastAsia="Times New Roman" w:cs="Arial"/>
                <w:sz w:val="20"/>
                <w:szCs w:val="20"/>
              </w:rPr>
              <w:t>Board of Studies</w:t>
            </w:r>
          </w:p>
        </w:tc>
        <w:tc>
          <w:tcPr>
            <w:tcW w:w="1701" w:type="dxa"/>
            <w:tcBorders>
              <w:top w:val="single" w:sz="4" w:space="0" w:color="999999"/>
              <w:left w:val="single" w:sz="4" w:space="0" w:color="999999"/>
              <w:bottom w:val="single" w:sz="4" w:space="0" w:color="999999"/>
              <w:right w:val="single" w:sz="4" w:space="0" w:color="999999"/>
            </w:tcBorders>
          </w:tcPr>
          <w:p w14:paraId="60860419" w14:textId="77777777" w:rsidR="005135D7" w:rsidRPr="009A639D" w:rsidRDefault="005135D7" w:rsidP="005135D7">
            <w:pPr>
              <w:rPr>
                <w:rFonts w:eastAsia="Times New Roman" w:cs="Arial"/>
                <w:sz w:val="20"/>
                <w:szCs w:val="20"/>
              </w:rPr>
            </w:pPr>
            <w:r w:rsidRPr="009A639D">
              <w:rPr>
                <w:rFonts w:eastAsia="Times New Roman" w:cs="Times New Roman"/>
                <w:b/>
                <w:sz w:val="20"/>
                <w:szCs w:val="20"/>
              </w:rPr>
              <w:t>Approved Date</w:t>
            </w:r>
          </w:p>
        </w:tc>
        <w:tc>
          <w:tcPr>
            <w:tcW w:w="2126" w:type="dxa"/>
            <w:tcBorders>
              <w:top w:val="single" w:sz="4" w:space="0" w:color="999999"/>
              <w:left w:val="single" w:sz="4" w:space="0" w:color="999999"/>
              <w:bottom w:val="single" w:sz="4" w:space="0" w:color="999999"/>
              <w:right w:val="single" w:sz="4" w:space="0" w:color="999999"/>
            </w:tcBorders>
          </w:tcPr>
          <w:p w14:paraId="10582AAC" w14:textId="404695C8" w:rsidR="005135D7" w:rsidRPr="009A639D" w:rsidRDefault="00CF1D7D" w:rsidP="005135D7">
            <w:pPr>
              <w:rPr>
                <w:rFonts w:eastAsia="Times New Roman" w:cs="Arial"/>
                <w:sz w:val="20"/>
                <w:szCs w:val="20"/>
              </w:rPr>
            </w:pPr>
            <w:r>
              <w:rPr>
                <w:rFonts w:eastAsia="Times New Roman" w:cs="Arial"/>
                <w:sz w:val="20"/>
                <w:szCs w:val="20"/>
              </w:rPr>
              <w:t>4</w:t>
            </w:r>
            <w:r w:rsidR="001838F4">
              <w:rPr>
                <w:rFonts w:eastAsia="Times New Roman" w:cs="Arial"/>
                <w:sz w:val="20"/>
                <w:szCs w:val="20"/>
              </w:rPr>
              <w:t xml:space="preserve"> December 2023</w:t>
            </w:r>
          </w:p>
        </w:tc>
      </w:tr>
      <w:tr w:rsidR="005135D7" w:rsidRPr="009A639D" w14:paraId="6057CCEF" w14:textId="77777777" w:rsidTr="00876EBC">
        <w:tc>
          <w:tcPr>
            <w:tcW w:w="2835" w:type="dxa"/>
            <w:tcBorders>
              <w:top w:val="single" w:sz="4" w:space="0" w:color="999999"/>
              <w:left w:val="single" w:sz="4" w:space="0" w:color="999999"/>
              <w:bottom w:val="single" w:sz="4" w:space="0" w:color="999999"/>
              <w:right w:val="single" w:sz="4" w:space="0" w:color="999999"/>
            </w:tcBorders>
            <w:vAlign w:val="center"/>
          </w:tcPr>
          <w:p w14:paraId="6FC724C3" w14:textId="77777777" w:rsidR="005135D7" w:rsidRPr="009A639D" w:rsidRDefault="005135D7" w:rsidP="005135D7">
            <w:pPr>
              <w:rPr>
                <w:rFonts w:eastAsia="Times New Roman" w:cs="Times New Roman"/>
                <w:b/>
                <w:sz w:val="20"/>
                <w:szCs w:val="20"/>
              </w:rPr>
            </w:pPr>
            <w:r w:rsidRPr="009A639D">
              <w:rPr>
                <w:rFonts w:eastAsia="Times New Roman" w:cs="Times New Roman"/>
                <w:b/>
                <w:sz w:val="20"/>
                <w:szCs w:val="20"/>
              </w:rPr>
              <w:t>Review schedule</w:t>
            </w:r>
          </w:p>
        </w:tc>
        <w:tc>
          <w:tcPr>
            <w:tcW w:w="7088" w:type="dxa"/>
            <w:gridSpan w:val="3"/>
            <w:tcBorders>
              <w:top w:val="single" w:sz="4" w:space="0" w:color="999999"/>
              <w:left w:val="single" w:sz="4" w:space="0" w:color="999999"/>
              <w:bottom w:val="single" w:sz="4" w:space="0" w:color="999999"/>
              <w:right w:val="single" w:sz="4" w:space="0" w:color="999999"/>
            </w:tcBorders>
          </w:tcPr>
          <w:p w14:paraId="45DA3CB5" w14:textId="643B315A" w:rsidR="005135D7" w:rsidRPr="009A639D" w:rsidRDefault="005135D7" w:rsidP="005135D7">
            <w:pPr>
              <w:rPr>
                <w:rFonts w:eastAsia="Times New Roman" w:cs="Arial"/>
                <w:sz w:val="20"/>
                <w:szCs w:val="20"/>
              </w:rPr>
            </w:pPr>
            <w:r w:rsidRPr="009A639D">
              <w:rPr>
                <w:sz w:val="20"/>
                <w:szCs w:val="20"/>
              </w:rPr>
              <w:t xml:space="preserve">This policy will be reviewed every </w:t>
            </w:r>
            <w:r w:rsidR="001838F4">
              <w:rPr>
                <w:sz w:val="20"/>
                <w:szCs w:val="20"/>
              </w:rPr>
              <w:t>3</w:t>
            </w:r>
            <w:r w:rsidRPr="009A639D">
              <w:rPr>
                <w:sz w:val="20"/>
                <w:szCs w:val="20"/>
              </w:rPr>
              <w:t xml:space="preserve"> years (or earlier as required)</w:t>
            </w:r>
          </w:p>
        </w:tc>
      </w:tr>
      <w:tr w:rsidR="005135D7" w:rsidRPr="009A639D" w14:paraId="7F971AEA" w14:textId="77777777" w:rsidTr="00876EBC">
        <w:tc>
          <w:tcPr>
            <w:tcW w:w="2835" w:type="dxa"/>
            <w:tcBorders>
              <w:top w:val="single" w:sz="4" w:space="0" w:color="999999"/>
              <w:left w:val="single" w:sz="4" w:space="0" w:color="999999"/>
              <w:bottom w:val="single" w:sz="4" w:space="0" w:color="999999"/>
              <w:right w:val="single" w:sz="4" w:space="0" w:color="999999"/>
            </w:tcBorders>
            <w:vAlign w:val="center"/>
          </w:tcPr>
          <w:p w14:paraId="02E9ED3D" w14:textId="66E2FD03" w:rsidR="005135D7" w:rsidRPr="009A639D" w:rsidRDefault="005135D7" w:rsidP="005135D7">
            <w:pPr>
              <w:rPr>
                <w:rFonts w:eastAsia="Times New Roman" w:cs="Times New Roman"/>
                <w:b/>
                <w:sz w:val="20"/>
                <w:szCs w:val="20"/>
              </w:rPr>
            </w:pPr>
            <w:r>
              <w:rPr>
                <w:rFonts w:eastAsia="Times New Roman" w:cs="Times New Roman"/>
                <w:b/>
                <w:sz w:val="20"/>
                <w:szCs w:val="20"/>
              </w:rPr>
              <w:t>Date of next review</w:t>
            </w:r>
          </w:p>
        </w:tc>
        <w:tc>
          <w:tcPr>
            <w:tcW w:w="7088" w:type="dxa"/>
            <w:gridSpan w:val="3"/>
            <w:tcBorders>
              <w:top w:val="single" w:sz="4" w:space="0" w:color="999999"/>
              <w:left w:val="single" w:sz="4" w:space="0" w:color="999999"/>
              <w:bottom w:val="single" w:sz="4" w:space="0" w:color="999999"/>
              <w:right w:val="single" w:sz="4" w:space="0" w:color="999999"/>
            </w:tcBorders>
          </w:tcPr>
          <w:p w14:paraId="633EE9AA" w14:textId="083346DF" w:rsidR="005135D7" w:rsidRPr="009A639D" w:rsidRDefault="00CF1D7D" w:rsidP="005135D7">
            <w:pPr>
              <w:rPr>
                <w:sz w:val="20"/>
                <w:szCs w:val="20"/>
              </w:rPr>
            </w:pPr>
            <w:r>
              <w:rPr>
                <w:sz w:val="20"/>
                <w:szCs w:val="20"/>
              </w:rPr>
              <w:t>4</w:t>
            </w:r>
            <w:bookmarkStart w:id="5" w:name="_GoBack"/>
            <w:bookmarkEnd w:id="5"/>
            <w:r w:rsidR="001838F4">
              <w:rPr>
                <w:sz w:val="20"/>
                <w:szCs w:val="20"/>
              </w:rPr>
              <w:t xml:space="preserve"> December 2026</w:t>
            </w:r>
          </w:p>
        </w:tc>
      </w:tr>
    </w:tbl>
    <w:p w14:paraId="235DDD38" w14:textId="51C919F1" w:rsidR="00F94FB7" w:rsidRDefault="00F94FB7"/>
    <w:tbl>
      <w:tblPr>
        <w:tblW w:w="9923" w:type="dxa"/>
        <w:tblInd w:w="-5" w:type="dxa"/>
        <w:tblBorders>
          <w:top w:val="single" w:sz="4" w:space="0" w:color="999999"/>
          <w:left w:val="single" w:sz="4" w:space="0" w:color="999999"/>
          <w:bottom w:val="single" w:sz="4" w:space="0" w:color="999999"/>
          <w:right w:val="single" w:sz="4" w:space="0" w:color="999999"/>
        </w:tblBorders>
        <w:tblLook w:val="04A0" w:firstRow="1" w:lastRow="0" w:firstColumn="1" w:lastColumn="0" w:noHBand="0" w:noVBand="1"/>
      </w:tblPr>
      <w:tblGrid>
        <w:gridCol w:w="2977"/>
        <w:gridCol w:w="1985"/>
        <w:gridCol w:w="4961"/>
      </w:tblGrid>
      <w:tr w:rsidR="002A5AAE" w:rsidRPr="009A639D" w14:paraId="72E2E5E6" w14:textId="77777777" w:rsidTr="00930C9A">
        <w:tc>
          <w:tcPr>
            <w:tcW w:w="2977" w:type="dxa"/>
            <w:tcBorders>
              <w:top w:val="single" w:sz="4" w:space="0" w:color="999999"/>
              <w:left w:val="single" w:sz="4" w:space="0" w:color="999999"/>
              <w:bottom w:val="single" w:sz="4" w:space="0" w:color="999999"/>
              <w:right w:val="single" w:sz="4" w:space="0" w:color="999999"/>
            </w:tcBorders>
            <w:vAlign w:val="center"/>
          </w:tcPr>
          <w:p w14:paraId="17A995D4" w14:textId="37B93F35" w:rsidR="002A5AAE" w:rsidRPr="009A639D" w:rsidRDefault="00930C9A" w:rsidP="00E53092">
            <w:pPr>
              <w:rPr>
                <w:rFonts w:eastAsia="Times New Roman" w:cs="Times New Roman"/>
                <w:b/>
                <w:sz w:val="20"/>
                <w:szCs w:val="20"/>
              </w:rPr>
            </w:pPr>
            <w:r>
              <w:rPr>
                <w:rFonts w:eastAsia="Times New Roman" w:cs="Times New Roman"/>
                <w:b/>
                <w:sz w:val="20"/>
                <w:szCs w:val="20"/>
              </w:rPr>
              <w:t xml:space="preserve">Minor </w:t>
            </w:r>
            <w:r w:rsidR="002A5AAE">
              <w:rPr>
                <w:rFonts w:eastAsia="Times New Roman" w:cs="Times New Roman"/>
                <w:b/>
                <w:sz w:val="20"/>
                <w:szCs w:val="20"/>
              </w:rPr>
              <w:t>Structure changes outside of Review schedule</w:t>
            </w:r>
          </w:p>
        </w:tc>
        <w:tc>
          <w:tcPr>
            <w:tcW w:w="1985" w:type="dxa"/>
            <w:tcBorders>
              <w:top w:val="single" w:sz="4" w:space="0" w:color="999999"/>
              <w:left w:val="single" w:sz="4" w:space="0" w:color="999999"/>
              <w:bottom w:val="single" w:sz="4" w:space="0" w:color="999999"/>
              <w:right w:val="single" w:sz="4" w:space="0" w:color="999999"/>
            </w:tcBorders>
          </w:tcPr>
          <w:p w14:paraId="5FE5A255" w14:textId="186B9642" w:rsidR="002A5AAE" w:rsidRPr="009A639D" w:rsidRDefault="002A5AAE" w:rsidP="00E53092">
            <w:pPr>
              <w:rPr>
                <w:sz w:val="20"/>
                <w:szCs w:val="20"/>
              </w:rPr>
            </w:pPr>
          </w:p>
        </w:tc>
        <w:tc>
          <w:tcPr>
            <w:tcW w:w="4961" w:type="dxa"/>
            <w:tcBorders>
              <w:top w:val="single" w:sz="4" w:space="0" w:color="999999"/>
              <w:left w:val="single" w:sz="4" w:space="0" w:color="999999"/>
              <w:bottom w:val="single" w:sz="4" w:space="0" w:color="999999"/>
              <w:right w:val="single" w:sz="4" w:space="0" w:color="999999"/>
            </w:tcBorders>
          </w:tcPr>
          <w:p w14:paraId="07917930" w14:textId="059AA2FE" w:rsidR="002A5AAE" w:rsidRPr="009A639D" w:rsidRDefault="002A5AAE" w:rsidP="00E53092">
            <w:pPr>
              <w:rPr>
                <w:sz w:val="20"/>
                <w:szCs w:val="20"/>
              </w:rPr>
            </w:pPr>
          </w:p>
        </w:tc>
      </w:tr>
    </w:tbl>
    <w:p w14:paraId="2AF51815" w14:textId="77777777" w:rsidR="002A5AAE" w:rsidRPr="009A639D" w:rsidRDefault="002A5AAE"/>
    <w:sectPr w:rsidR="002A5AAE" w:rsidRPr="009A639D" w:rsidSect="00BA4990">
      <w:headerReference w:type="default" r:id="rId11"/>
      <w:footerReference w:type="default" r:id="rId12"/>
      <w:pgSz w:w="11906" w:h="16838" w:code="9"/>
      <w:pgMar w:top="1985" w:right="1440" w:bottom="1440" w:left="1440" w:header="426"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29BE1" w14:textId="77777777" w:rsidR="00976EB2" w:rsidRDefault="00976EB2" w:rsidP="00855C9F">
      <w:r>
        <w:separator/>
      </w:r>
    </w:p>
  </w:endnote>
  <w:endnote w:type="continuationSeparator" w:id="0">
    <w:p w14:paraId="4BA9EF79" w14:textId="77777777" w:rsidR="00976EB2" w:rsidRDefault="00976EB2" w:rsidP="0085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AC00" w14:textId="7063B1D1" w:rsidR="00786707" w:rsidRDefault="0024123C" w:rsidP="00786707">
    <w:pPr>
      <w:pStyle w:val="Footer"/>
      <w:jc w:val="right"/>
      <w:rPr>
        <w:b/>
        <w:color w:val="FFFFFF" w:themeColor="background1"/>
        <w:sz w:val="20"/>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0" layoutInCell="1" allowOverlap="1" wp14:anchorId="31EC7010" wp14:editId="7B516E0F">
              <wp:simplePos x="0" y="0"/>
              <wp:positionH relativeFrom="column">
                <wp:posOffset>5534025</wp:posOffset>
              </wp:positionH>
              <wp:positionV relativeFrom="paragraph">
                <wp:posOffset>165100</wp:posOffset>
              </wp:positionV>
              <wp:extent cx="847725" cy="3962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847725" cy="396240"/>
                      </a:xfrm>
                      <a:prstGeom prst="rect">
                        <a:avLst/>
                      </a:prstGeom>
                      <a:noFill/>
                      <a:ln w="6350">
                        <a:noFill/>
                      </a:ln>
                    </wps:spPr>
                    <wps:txbx>
                      <w:txbxContent>
                        <w:p w14:paraId="5693E65C" w14:textId="23297F04" w:rsidR="00E62351" w:rsidRPr="00E62351" w:rsidRDefault="009B2FC8" w:rsidP="00E62351">
                          <w:pPr>
                            <w:pStyle w:val="Footer"/>
                            <w:rPr>
                              <w:b/>
                              <w:color w:val="FFFFFF" w:themeColor="background1"/>
                              <w:sz w:val="18"/>
                              <w:szCs w:val="18"/>
                            </w:rPr>
                          </w:pPr>
                          <w:r>
                            <w:rPr>
                              <w:b/>
                              <w:color w:val="FFFFFF" w:themeColor="background1"/>
                              <w:sz w:val="18"/>
                              <w:szCs w:val="18"/>
                            </w:rPr>
                            <w:t>SS P</w:t>
                          </w:r>
                          <w:r w:rsidR="00FE5863">
                            <w:rPr>
                              <w:b/>
                              <w:color w:val="FFFFFF" w:themeColor="background1"/>
                              <w:sz w:val="18"/>
                              <w:szCs w:val="18"/>
                            </w:rPr>
                            <w:t>R</w:t>
                          </w:r>
                          <w:r>
                            <w:rPr>
                              <w:b/>
                              <w:color w:val="FFFFFF" w:themeColor="background1"/>
                              <w:sz w:val="18"/>
                              <w:szCs w:val="18"/>
                            </w:rPr>
                            <w:t xml:space="preserve"> 04</w:t>
                          </w:r>
                        </w:p>
                        <w:p w14:paraId="02F93B61" w14:textId="77777777" w:rsidR="00E62351" w:rsidRDefault="00E62351" w:rsidP="00E623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EC7010" id="_x0000_t202" coordsize="21600,21600" o:spt="202" path="m,l,21600r21600,l21600,xe">
              <v:stroke joinstyle="miter"/>
              <v:path gradientshapeok="t" o:connecttype="rect"/>
            </v:shapetype>
            <v:shape id="Text Box 1" o:spid="_x0000_s1028" type="#_x0000_t202" style="position:absolute;left:0;text-align:left;margin-left:435.75pt;margin-top:13pt;width:66.75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" filled="f" stroked="f" strokeweight=".5pt">
              <v:textbox>
                <w:txbxContent>
                  <w:p w14:paraId="5693E65C" w14:textId="23297F04" w:rsidR="00E62351" w:rsidRPr="00E62351" w:rsidRDefault="009B2FC8" w:rsidP="00E62351">
                    <w:pPr>
                      <w:pStyle w:val="Footer"/>
                      <w:rPr>
                        <w:b/>
                        <w:color w:val="FFFFFF" w:themeColor="background1"/>
                        <w:sz w:val="18"/>
                        <w:szCs w:val="18"/>
                      </w:rPr>
                    </w:pPr>
                    <w:r>
                      <w:rPr>
                        <w:b/>
                        <w:color w:val="FFFFFF" w:themeColor="background1"/>
                        <w:sz w:val="18"/>
                        <w:szCs w:val="18"/>
                      </w:rPr>
                      <w:t>SS P</w:t>
                    </w:r>
                    <w:r w:rsidR="00FE5863">
                      <w:rPr>
                        <w:b/>
                        <w:color w:val="FFFFFF" w:themeColor="background1"/>
                        <w:sz w:val="18"/>
                        <w:szCs w:val="18"/>
                      </w:rPr>
                      <w:t>R</w:t>
                    </w:r>
                    <w:r>
                      <w:rPr>
                        <w:b/>
                        <w:color w:val="FFFFFF" w:themeColor="background1"/>
                        <w:sz w:val="18"/>
                        <w:szCs w:val="18"/>
                      </w:rPr>
                      <w:t xml:space="preserve"> 04</w:t>
                    </w:r>
                  </w:p>
                  <w:p w14:paraId="02F93B61" w14:textId="77777777" w:rsidR="00E62351" w:rsidRDefault="00E62351" w:rsidP="00E62351">
                    <w:pPr>
                      <w:rPr>
                        <w:sz w:val="18"/>
                        <w:szCs w:val="18"/>
                      </w:rPr>
                    </w:pPr>
                  </w:p>
                </w:txbxContent>
              </v:textbox>
            </v:shape>
          </w:pict>
        </mc:Fallback>
      </mc:AlternateContent>
    </w:r>
  </w:p>
  <w:p w14:paraId="0E3D0CDE" w14:textId="32DFD4C6" w:rsidR="00786707" w:rsidRDefault="008A11D3">
    <w:pPr>
      <w:pStyle w:val="Footer"/>
      <w:rPr>
        <w:b/>
        <w:color w:val="FFFFFF" w:themeColor="background1"/>
        <w:sz w:val="18"/>
        <w:szCs w:val="18"/>
      </w:rPr>
    </w:pPr>
    <w:r w:rsidRPr="00786707">
      <w:rPr>
        <w:b/>
        <w:noProof/>
        <w:color w:val="FFFFFF" w:themeColor="background1"/>
        <w:sz w:val="18"/>
        <w:szCs w:val="18"/>
        <w:lang w:eastAsia="en-AU"/>
      </w:rPr>
      <w:drawing>
        <wp:anchor distT="0" distB="0" distL="114300" distR="114300" simplePos="0" relativeHeight="251661312" behindDoc="1" locked="1" layoutInCell="1" allowOverlap="1" wp14:anchorId="7DB4BF26" wp14:editId="08376C09">
          <wp:simplePos x="0" y="0"/>
          <wp:positionH relativeFrom="page">
            <wp:posOffset>0</wp:posOffset>
          </wp:positionH>
          <wp:positionV relativeFrom="page">
            <wp:posOffset>9439275</wp:posOffset>
          </wp:positionV>
          <wp:extent cx="7602855" cy="12547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FooterSimple@2x.png"/>
                  <pic:cNvPicPr/>
                </pic:nvPicPr>
                <pic:blipFill>
                  <a:blip r:embed="rId1">
                    <a:extLst>
                      <a:ext uri="{28A0092B-C50C-407E-A947-70E740481C1C}">
                        <a14:useLocalDpi xmlns:a14="http://schemas.microsoft.com/office/drawing/2010/main" val="0"/>
                      </a:ext>
                    </a:extLst>
                  </a:blip>
                  <a:stretch>
                    <a:fillRect/>
                  </a:stretch>
                </pic:blipFill>
                <pic:spPr>
                  <a:xfrm>
                    <a:off x="0" y="0"/>
                    <a:ext cx="7602855" cy="1254760"/>
                  </a:xfrm>
                  <a:prstGeom prst="rect">
                    <a:avLst/>
                  </a:prstGeom>
                </pic:spPr>
              </pic:pic>
            </a:graphicData>
          </a:graphic>
          <wp14:sizeRelH relativeFrom="margin">
            <wp14:pctWidth>0</wp14:pctWidth>
          </wp14:sizeRelH>
          <wp14:sizeRelV relativeFrom="margin">
            <wp14:pctHeight>0</wp14:pctHeight>
          </wp14:sizeRelV>
        </wp:anchor>
      </w:drawing>
    </w:r>
    <w:r w:rsidR="00786707" w:rsidRPr="00786707">
      <w:rPr>
        <w:b/>
        <w:color w:val="FFFFFF" w:themeColor="background1"/>
        <w:sz w:val="18"/>
        <w:szCs w:val="18"/>
      </w:rPr>
      <w:t xml:space="preserve">Printed: </w:t>
    </w:r>
    <w:r w:rsidR="00786707" w:rsidRPr="00786707">
      <w:rPr>
        <w:b/>
        <w:color w:val="FFFFFF" w:themeColor="background1"/>
        <w:sz w:val="18"/>
        <w:szCs w:val="18"/>
      </w:rPr>
      <w:fldChar w:fldCharType="begin"/>
    </w:r>
    <w:r w:rsidR="00786707" w:rsidRPr="00786707">
      <w:rPr>
        <w:b/>
        <w:color w:val="FFFFFF" w:themeColor="background1"/>
        <w:sz w:val="18"/>
        <w:szCs w:val="18"/>
      </w:rPr>
      <w:instrText xml:space="preserve"> DATE   \* MERGEFORMAT </w:instrText>
    </w:r>
    <w:r w:rsidR="00786707" w:rsidRPr="00786707">
      <w:rPr>
        <w:b/>
        <w:color w:val="FFFFFF" w:themeColor="background1"/>
        <w:sz w:val="18"/>
        <w:szCs w:val="18"/>
      </w:rPr>
      <w:fldChar w:fldCharType="separate"/>
    </w:r>
    <w:r w:rsidR="00CF1D7D">
      <w:rPr>
        <w:b/>
        <w:noProof/>
        <w:color w:val="FFFFFF" w:themeColor="background1"/>
        <w:sz w:val="18"/>
        <w:szCs w:val="18"/>
      </w:rPr>
      <w:t>4/12/2023</w:t>
    </w:r>
    <w:r w:rsidR="00786707" w:rsidRPr="00786707">
      <w:rPr>
        <w:b/>
        <w:color w:val="FFFFFF" w:themeColor="background1"/>
        <w:sz w:val="18"/>
        <w:szCs w:val="18"/>
      </w:rPr>
      <w:fldChar w:fldCharType="end"/>
    </w:r>
  </w:p>
  <w:p w14:paraId="0CC4C374" w14:textId="72D6F0AC" w:rsidR="003113E4" w:rsidRPr="00786707" w:rsidRDefault="003113E4">
    <w:pPr>
      <w:pStyle w:val="Footer"/>
      <w:rPr>
        <w:b/>
        <w:color w:val="FFFFFF" w:themeColor="background1"/>
        <w:sz w:val="18"/>
        <w:szCs w:val="18"/>
      </w:rPr>
    </w:pPr>
    <w:r>
      <w:rPr>
        <w:b/>
        <w:color w:val="FFFFFF" w:themeColor="background1"/>
        <w:sz w:val="18"/>
        <w:szCs w:val="18"/>
      </w:rPr>
      <w:t>Page</w:t>
    </w:r>
    <w:r w:rsidRPr="00786707">
      <w:rPr>
        <w:b/>
        <w:color w:val="FFFFFF" w:themeColor="background1"/>
        <w:sz w:val="18"/>
        <w:szCs w:val="18"/>
      </w:rPr>
      <w:t xml:space="preserve">: </w:t>
    </w:r>
    <w:r w:rsidRPr="00786707">
      <w:rPr>
        <w:b/>
        <w:color w:val="FFFFFF" w:themeColor="background1"/>
        <w:sz w:val="18"/>
        <w:szCs w:val="18"/>
      </w:rPr>
      <w:fldChar w:fldCharType="begin"/>
    </w:r>
    <w:r w:rsidRPr="00786707">
      <w:rPr>
        <w:b/>
        <w:color w:val="FFFFFF" w:themeColor="background1"/>
        <w:sz w:val="18"/>
        <w:szCs w:val="18"/>
      </w:rPr>
      <w:instrText xml:space="preserve"> PAGE  \* Arabic  \* MERGEFORMAT </w:instrText>
    </w:r>
    <w:r w:rsidRPr="00786707">
      <w:rPr>
        <w:b/>
        <w:color w:val="FFFFFF" w:themeColor="background1"/>
        <w:sz w:val="18"/>
        <w:szCs w:val="18"/>
      </w:rPr>
      <w:fldChar w:fldCharType="separate"/>
    </w:r>
    <w:r>
      <w:rPr>
        <w:b/>
        <w:color w:val="FFFFFF" w:themeColor="background1"/>
        <w:sz w:val="18"/>
        <w:szCs w:val="18"/>
      </w:rPr>
      <w:t>1</w:t>
    </w:r>
    <w:r w:rsidRPr="00786707">
      <w:rPr>
        <w:b/>
        <w:color w:val="FFFFFF" w:themeColor="background1"/>
        <w:sz w:val="18"/>
        <w:szCs w:val="18"/>
      </w:rPr>
      <w:fldChar w:fldCharType="end"/>
    </w:r>
    <w:r w:rsidRPr="00786707">
      <w:rPr>
        <w:b/>
        <w:color w:val="FFFFFF" w:themeColor="background1"/>
        <w:sz w:val="18"/>
        <w:szCs w:val="18"/>
      </w:rPr>
      <w:t xml:space="preserve"> of </w:t>
    </w:r>
    <w:r w:rsidRPr="00786707">
      <w:rPr>
        <w:b/>
        <w:color w:val="FFFFFF" w:themeColor="background1"/>
        <w:sz w:val="18"/>
        <w:szCs w:val="18"/>
      </w:rPr>
      <w:fldChar w:fldCharType="begin"/>
    </w:r>
    <w:r w:rsidRPr="00786707">
      <w:rPr>
        <w:b/>
        <w:color w:val="FFFFFF" w:themeColor="background1"/>
        <w:sz w:val="18"/>
        <w:szCs w:val="18"/>
      </w:rPr>
      <w:instrText xml:space="preserve"> NUMPAGES  \* Arabic  \* MERGEFORMAT </w:instrText>
    </w:r>
    <w:r w:rsidRPr="00786707">
      <w:rPr>
        <w:b/>
        <w:color w:val="FFFFFF" w:themeColor="background1"/>
        <w:sz w:val="18"/>
        <w:szCs w:val="18"/>
      </w:rPr>
      <w:fldChar w:fldCharType="separate"/>
    </w:r>
    <w:r>
      <w:rPr>
        <w:b/>
        <w:color w:val="FFFFFF" w:themeColor="background1"/>
        <w:sz w:val="18"/>
        <w:szCs w:val="18"/>
      </w:rPr>
      <w:t>2</w:t>
    </w:r>
    <w:r w:rsidRPr="00786707">
      <w:rPr>
        <w:b/>
        <w:color w:val="FFFFFF" w:themeColor="background1"/>
        <w:sz w:val="18"/>
        <w:szCs w:val="18"/>
      </w:rPr>
      <w:fldChar w:fldCharType="end"/>
    </w:r>
  </w:p>
  <w:p w14:paraId="57234F8D" w14:textId="77777777" w:rsidR="00BA4990" w:rsidRPr="00786707" w:rsidRDefault="00BA4990">
    <w:pPr>
      <w:pStyle w:val="Footer"/>
      <w:rPr>
        <w:b/>
        <w:color w:val="FFFFFF" w:themeColor="background1"/>
        <w:sz w:val="18"/>
        <w:szCs w:val="18"/>
      </w:rPr>
    </w:pPr>
    <w:r w:rsidRPr="00786707">
      <w:rPr>
        <w:rFonts w:cs="Arial"/>
        <w:b/>
        <w:color w:val="FFFFFF" w:themeColor="background1"/>
        <w:sz w:val="18"/>
        <w:szCs w:val="18"/>
      </w:rPr>
      <w:t>To ensure copies are current check issue date on Operational Management System</w:t>
    </w:r>
  </w:p>
  <w:p w14:paraId="00AFC931" w14:textId="77777777" w:rsidR="00B4286E" w:rsidRPr="0025105F" w:rsidRDefault="008A11D3">
    <w:pPr>
      <w:pStyle w:val="Footer"/>
      <w:rPr>
        <w:b/>
        <w:color w:val="FFFFFF" w:themeColor="background1"/>
        <w:sz w:val="18"/>
      </w:rPr>
    </w:pPr>
    <w:r w:rsidRPr="0025105F">
      <w:rPr>
        <w:rFonts w:cs="Arial"/>
        <w:noProof/>
        <w:color w:val="FFFFFF" w:themeColor="background1"/>
        <w:sz w:val="16"/>
        <w:szCs w:val="16"/>
        <w:lang w:eastAsia="en-AU"/>
      </w:rPr>
      <mc:AlternateContent>
        <mc:Choice Requires="wps">
          <w:drawing>
            <wp:anchor distT="0" distB="0" distL="114300" distR="114300" simplePos="0" relativeHeight="251662336" behindDoc="0" locked="0" layoutInCell="0" allowOverlap="1" wp14:anchorId="5D3EF351" wp14:editId="53094709">
              <wp:simplePos x="0" y="0"/>
              <wp:positionH relativeFrom="page">
                <wp:posOffset>0</wp:posOffset>
              </wp:positionH>
              <wp:positionV relativeFrom="page">
                <wp:posOffset>10240645</wp:posOffset>
              </wp:positionV>
              <wp:extent cx="7560310" cy="260350"/>
              <wp:effectExtent l="0" t="0" r="0" b="6350"/>
              <wp:wrapNone/>
              <wp:docPr id="141" name="MSIPCMcc514d7d892e37268a5c6433" descr="{&quot;HashCode&quot;:-13911164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7ADD1E"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D3EF351" id="MSIPCMcc514d7d892e37268a5c6433" o:spid="_x0000_s1029" type="#_x0000_t202" alt="{&quot;HashCode&quot;:-1391116470,&quot;Height&quot;:841.0,&quot;Width&quot;:595.0,&quot;Placement&quot;:&quot;Footer&quot;,&quot;Index&quot;:&quot;Primary&quot;,&quot;Section&quot;:1,&quot;Top&quot;:0.0,&quot;Left&quot;:0.0}" style="position:absolute;margin-left:0;margin-top:806.35pt;width:595.3pt;height:20.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" o:allowincell="f" filled="f" stroked="f" strokeweight=".5pt">
              <v:textbox inset=",0,,0">
                <w:txbxContent>
                  <w:p w14:paraId="2F7ADD1E"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v:textbox>
              <w10:wrap anchorx="page" anchory="page"/>
            </v:shape>
          </w:pict>
        </mc:Fallback>
      </mc:AlternateContent>
    </w:r>
    <w:r w:rsidR="00B4286E" w:rsidRPr="0025105F">
      <w:rPr>
        <w:rFonts w:cs="Arial"/>
        <w:color w:val="FFFFFF" w:themeColor="background1"/>
        <w:sz w:val="16"/>
        <w:szCs w:val="16"/>
      </w:rPr>
      <w:t>(ABN 27 241 053 246   RTO 3044   CRICOS 00011G)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6C662" w14:textId="77777777" w:rsidR="00976EB2" w:rsidRDefault="00976EB2" w:rsidP="00855C9F">
      <w:r>
        <w:separator/>
      </w:r>
    </w:p>
  </w:footnote>
  <w:footnote w:type="continuationSeparator" w:id="0">
    <w:p w14:paraId="535E9754" w14:textId="77777777" w:rsidR="00976EB2" w:rsidRDefault="00976EB2" w:rsidP="0085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A8CC4" w14:textId="77777777" w:rsidR="00A15C20" w:rsidRPr="00A15C20" w:rsidRDefault="008A11D3" w:rsidP="00A15C20">
    <w:pPr>
      <w:pStyle w:val="WeareTheGordon"/>
      <w:rPr>
        <w:sz w:val="52"/>
        <w:lang w:val="en-US"/>
      </w:rPr>
    </w:pPr>
    <w:r>
      <w:rPr>
        <w:noProof/>
        <w:sz w:val="52"/>
        <w:lang w:eastAsia="en-AU"/>
      </w:rPr>
      <mc:AlternateContent>
        <mc:Choice Requires="wps">
          <w:drawing>
            <wp:anchor distT="0" distB="0" distL="114300" distR="114300" simplePos="0" relativeHeight="251663360" behindDoc="0" locked="0" layoutInCell="0" allowOverlap="1" wp14:anchorId="274B1253" wp14:editId="060AD3FF">
              <wp:simplePos x="0" y="0"/>
              <wp:positionH relativeFrom="page">
                <wp:posOffset>0</wp:posOffset>
              </wp:positionH>
              <wp:positionV relativeFrom="page">
                <wp:posOffset>190500</wp:posOffset>
              </wp:positionV>
              <wp:extent cx="7560310" cy="260350"/>
              <wp:effectExtent l="0" t="0" r="0" b="6350"/>
              <wp:wrapNone/>
              <wp:docPr id="142" name="MSIPCMb87e47aaa03a03902927b43c" descr="{&quot;HashCode&quot;:-1415254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DDC5A"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4B1253" id="_x0000_t202" coordsize="21600,21600" o:spt="202" path="m,l,21600r21600,l21600,xe">
              <v:stroke joinstyle="miter"/>
              <v:path gradientshapeok="t" o:connecttype="rect"/>
            </v:shapetype>
            <v:shape id="MSIPCMb87e47aaa03a03902927b43c" o:spid="_x0000_s1026" type="#_x0000_t202" alt="{&quot;HashCode&quot;:-1415254039,&quot;Height&quot;:841.0,&quot;Width&quot;:595.0,&quot;Placement&quot;:&quot;Header&quot;,&quot;Index&quot;:&quot;Primary&quot;,&quot;Section&quot;:1,&quot;Top&quot;:0.0,&quot;Left&quot;:0.0}" style="position:absolute;margin-left:0;margin-top:15pt;width:595.3pt;height:20.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" o:allowincell="f" filled="f" stroked="f" strokeweight=".5pt">
              <v:textbox inset=",0,,0">
                <w:txbxContent>
                  <w:p w14:paraId="79BDDC5A"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v:textbox>
              <w10:wrap anchorx="page" anchory="page"/>
            </v:shape>
          </w:pict>
        </mc:Fallback>
      </mc:AlternateContent>
    </w:r>
    <w:r w:rsidR="000C6F97" w:rsidRPr="00A15C20">
      <w:rPr>
        <w:noProof/>
        <w:sz w:val="52"/>
        <w:lang w:eastAsia="en-AU"/>
      </w:rPr>
      <mc:AlternateContent>
        <mc:Choice Requires="wps">
          <w:drawing>
            <wp:anchor distT="45720" distB="45720" distL="114300" distR="114300" simplePos="0" relativeHeight="251659264" behindDoc="0" locked="0" layoutInCell="1" allowOverlap="1" wp14:anchorId="687388F1" wp14:editId="3359854E">
              <wp:simplePos x="0" y="0"/>
              <wp:positionH relativeFrom="column">
                <wp:posOffset>2986612</wp:posOffset>
              </wp:positionH>
              <wp:positionV relativeFrom="paragraph">
                <wp:posOffset>69215</wp:posOffset>
              </wp:positionV>
              <wp:extent cx="2732405"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404620"/>
                      </a:xfrm>
                      <a:prstGeom prst="rect">
                        <a:avLst/>
                      </a:prstGeom>
                      <a:solidFill>
                        <a:srgbClr val="FFFFFF"/>
                      </a:solidFill>
                      <a:ln w="9525">
                        <a:noFill/>
                        <a:miter lim="800000"/>
                        <a:headEnd/>
                        <a:tailEnd/>
                      </a:ln>
                    </wps:spPr>
                    <wps:txbx>
                      <w:txbxContent>
                        <w:p w14:paraId="476F1468" w14:textId="77777777" w:rsidR="00A15C20" w:rsidRPr="008A11D3" w:rsidRDefault="00A15C20" w:rsidP="000C6F97">
                          <w:pPr>
                            <w:pStyle w:val="WeareTheGordon"/>
                            <w:jc w:val="right"/>
                            <w:rPr>
                              <w:sz w:val="22"/>
                            </w:rPr>
                          </w:pPr>
                          <w:r w:rsidRPr="008A11D3">
                            <w:rPr>
                              <w:sz w:val="36"/>
                              <w:lang w:val="en-US"/>
                            </w:rPr>
                            <w:t>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7388F1" id="Text Box 2" o:spid="_x0000_s1027" type="#_x0000_t202" style="position:absolute;margin-left:235.15pt;margin-top:5.45pt;width:21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anJAIAACU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" stroked="f">
              <v:textbox style="mso-fit-shape-to-text:t">
                <w:txbxContent>
                  <w:p w14:paraId="476F1468" w14:textId="77777777" w:rsidR="00A15C20" w:rsidRPr="008A11D3" w:rsidRDefault="00A15C20" w:rsidP="000C6F97">
                    <w:pPr>
                      <w:pStyle w:val="WeareTheGordon"/>
                      <w:jc w:val="right"/>
                      <w:rPr>
                        <w:sz w:val="22"/>
                      </w:rPr>
                    </w:pPr>
                    <w:r w:rsidRPr="008A11D3">
                      <w:rPr>
                        <w:sz w:val="36"/>
                        <w:lang w:val="en-US"/>
                      </w:rPr>
                      <w:t>Policy</w:t>
                    </w:r>
                  </w:p>
                </w:txbxContent>
              </v:textbox>
              <w10:wrap type="square"/>
            </v:shape>
          </w:pict>
        </mc:Fallback>
      </mc:AlternateContent>
    </w:r>
    <w:r w:rsidR="000C6F97">
      <w:rPr>
        <w:noProof/>
        <w:sz w:val="52"/>
        <w:lang w:eastAsia="en-AU"/>
      </w:rPr>
      <w:drawing>
        <wp:anchor distT="0" distB="0" distL="114300" distR="114300" simplePos="0" relativeHeight="251660288" behindDoc="1" locked="0" layoutInCell="1" allowOverlap="1" wp14:anchorId="0C5BCF91" wp14:editId="39369311">
          <wp:simplePos x="0" y="0"/>
          <wp:positionH relativeFrom="column">
            <wp:posOffset>-935665</wp:posOffset>
          </wp:positionH>
          <wp:positionV relativeFrom="paragraph">
            <wp:posOffset>-302408</wp:posOffset>
          </wp:positionV>
          <wp:extent cx="7559040" cy="97817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HeaderSimple@2x.png"/>
                  <pic:cNvPicPr/>
                </pic:nvPicPr>
                <pic:blipFill>
                  <a:blip r:embed="rId1">
                    <a:extLst>
                      <a:ext uri="{28A0092B-C50C-407E-A947-70E740481C1C}">
                        <a14:useLocalDpi xmlns:a14="http://schemas.microsoft.com/office/drawing/2010/main" val="0"/>
                      </a:ext>
                    </a:extLst>
                  </a:blip>
                  <a:stretch>
                    <a:fillRect/>
                  </a:stretch>
                </pic:blipFill>
                <pic:spPr>
                  <a:xfrm>
                    <a:off x="0" y="0"/>
                    <a:ext cx="7734856" cy="10009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580E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47B57"/>
    <w:multiLevelType w:val="multilevel"/>
    <w:tmpl w:val="A85EBB82"/>
    <w:lvl w:ilvl="0">
      <w:start w:val="1"/>
      <w:numFmt w:val="decimal"/>
      <w:pStyle w:val="StyleListParagraph12ptBoldHEAD2"/>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60C2D8A"/>
    <w:multiLevelType w:val="hybridMultilevel"/>
    <w:tmpl w:val="7200E2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A13589"/>
    <w:multiLevelType w:val="hybridMultilevel"/>
    <w:tmpl w:val="45624514"/>
    <w:lvl w:ilvl="0" w:tplc="67546C44">
      <w:start w:val="1"/>
      <w:numFmt w:val="bullet"/>
      <w:pStyle w:val="POPR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950317"/>
    <w:multiLevelType w:val="hybridMultilevel"/>
    <w:tmpl w:val="4BCC2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AA78DD"/>
    <w:multiLevelType w:val="hybridMultilevel"/>
    <w:tmpl w:val="0094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6143F3"/>
    <w:multiLevelType w:val="multilevel"/>
    <w:tmpl w:val="FDF8D49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3FD2C62"/>
    <w:multiLevelType w:val="hybridMultilevel"/>
    <w:tmpl w:val="EC7034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629"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7262E1"/>
    <w:multiLevelType w:val="multilevel"/>
    <w:tmpl w:val="4E046DD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CBD631E"/>
    <w:multiLevelType w:val="multilevel"/>
    <w:tmpl w:val="95B486C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F96FD7"/>
    <w:multiLevelType w:val="multilevel"/>
    <w:tmpl w:val="22C69242"/>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411055EA"/>
    <w:multiLevelType w:val="multilevel"/>
    <w:tmpl w:val="5FE4260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44372A37"/>
    <w:multiLevelType w:val="hybridMultilevel"/>
    <w:tmpl w:val="B1323FB6"/>
    <w:lvl w:ilvl="0" w:tplc="A1C6BDC6">
      <w:start w:val="1"/>
      <w:numFmt w:val="lowerLetter"/>
      <w:pStyle w:val="POPR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C36548"/>
    <w:multiLevelType w:val="hybridMultilevel"/>
    <w:tmpl w:val="95820FCE"/>
    <w:lvl w:ilvl="0" w:tplc="A09C1AB2">
      <w:start w:val="1"/>
      <w:numFmt w:val="decimal"/>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14" w15:restartNumberingAfterBreak="0">
    <w:nsid w:val="47500BDF"/>
    <w:multiLevelType w:val="hybridMultilevel"/>
    <w:tmpl w:val="B6E62B6E"/>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1069"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4769444F"/>
    <w:multiLevelType w:val="hybridMultilevel"/>
    <w:tmpl w:val="988EF808"/>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16" w15:restartNumberingAfterBreak="0">
    <w:nsid w:val="4AE04149"/>
    <w:multiLevelType w:val="multilevel"/>
    <w:tmpl w:val="4E046DD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BC0108E"/>
    <w:multiLevelType w:val="multilevel"/>
    <w:tmpl w:val="4E046DD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26A4DA3"/>
    <w:multiLevelType w:val="multilevel"/>
    <w:tmpl w:val="7D603EFC"/>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9" w15:restartNumberingAfterBreak="0">
    <w:nsid w:val="63DE0FF1"/>
    <w:multiLevelType w:val="multilevel"/>
    <w:tmpl w:val="4E046DD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8C92EE7"/>
    <w:multiLevelType w:val="hybridMultilevel"/>
    <w:tmpl w:val="FB78C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0"/>
  </w:num>
  <w:num w:numId="5">
    <w:abstractNumId w:val="12"/>
  </w:num>
  <w:num w:numId="6">
    <w:abstractNumId w:val="1"/>
  </w:num>
  <w:num w:numId="7">
    <w:abstractNumId w:val="13"/>
  </w:num>
  <w:num w:numId="8">
    <w:abstractNumId w:val="4"/>
  </w:num>
  <w:num w:numId="9">
    <w:abstractNumId w:val="2"/>
  </w:num>
  <w:num w:numId="10">
    <w:abstractNumId w:val="6"/>
  </w:num>
  <w:num w:numId="11">
    <w:abstractNumId w:val="10"/>
  </w:num>
  <w:num w:numId="12">
    <w:abstractNumId w:val="8"/>
  </w:num>
  <w:num w:numId="13">
    <w:abstractNumId w:val="16"/>
  </w:num>
  <w:num w:numId="14">
    <w:abstractNumId w:val="17"/>
  </w:num>
  <w:num w:numId="15">
    <w:abstractNumId w:val="7"/>
  </w:num>
  <w:num w:numId="16">
    <w:abstractNumId w:val="19"/>
  </w:num>
  <w:num w:numId="17">
    <w:abstractNumId w:val="11"/>
  </w:num>
  <w:num w:numId="18">
    <w:abstractNumId w:val="18"/>
  </w:num>
  <w:num w:numId="19">
    <w:abstractNumId w:val="20"/>
  </w:num>
  <w:num w:numId="20">
    <w:abstractNumId w:val="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zWytDAzNDAwtrRQ0lEKTi0uzszPAykwrAUATEvshCwAAAA="/>
  </w:docVars>
  <w:rsids>
    <w:rsidRoot w:val="00906311"/>
    <w:rsid w:val="000010A4"/>
    <w:rsid w:val="000175BD"/>
    <w:rsid w:val="00042254"/>
    <w:rsid w:val="0007730C"/>
    <w:rsid w:val="00077EDF"/>
    <w:rsid w:val="00095DB5"/>
    <w:rsid w:val="000B708C"/>
    <w:rsid w:val="000C6F97"/>
    <w:rsid w:val="00110E95"/>
    <w:rsid w:val="00163DFC"/>
    <w:rsid w:val="001838F4"/>
    <w:rsid w:val="001A6C2F"/>
    <w:rsid w:val="001B713B"/>
    <w:rsid w:val="001E2858"/>
    <w:rsid w:val="00217EA1"/>
    <w:rsid w:val="00220958"/>
    <w:rsid w:val="0023689F"/>
    <w:rsid w:val="0024123C"/>
    <w:rsid w:val="0025105F"/>
    <w:rsid w:val="002836E8"/>
    <w:rsid w:val="002A5AAE"/>
    <w:rsid w:val="002A7B57"/>
    <w:rsid w:val="002E1ED8"/>
    <w:rsid w:val="002E38E7"/>
    <w:rsid w:val="003113E4"/>
    <w:rsid w:val="0033709D"/>
    <w:rsid w:val="00337BBF"/>
    <w:rsid w:val="00340625"/>
    <w:rsid w:val="00367568"/>
    <w:rsid w:val="0037151E"/>
    <w:rsid w:val="0037636F"/>
    <w:rsid w:val="003C3097"/>
    <w:rsid w:val="00401478"/>
    <w:rsid w:val="0041241D"/>
    <w:rsid w:val="00430B79"/>
    <w:rsid w:val="004600B0"/>
    <w:rsid w:val="00464DCE"/>
    <w:rsid w:val="00471BF8"/>
    <w:rsid w:val="00483563"/>
    <w:rsid w:val="004837EE"/>
    <w:rsid w:val="00492421"/>
    <w:rsid w:val="004B6C5B"/>
    <w:rsid w:val="004D1A51"/>
    <w:rsid w:val="004D39F5"/>
    <w:rsid w:val="005045C6"/>
    <w:rsid w:val="005135D7"/>
    <w:rsid w:val="0051745E"/>
    <w:rsid w:val="00521BAA"/>
    <w:rsid w:val="0052584B"/>
    <w:rsid w:val="00540050"/>
    <w:rsid w:val="0055361E"/>
    <w:rsid w:val="00553B73"/>
    <w:rsid w:val="0056469D"/>
    <w:rsid w:val="00567533"/>
    <w:rsid w:val="00576D45"/>
    <w:rsid w:val="005A0932"/>
    <w:rsid w:val="0060167E"/>
    <w:rsid w:val="006330D0"/>
    <w:rsid w:val="00637F78"/>
    <w:rsid w:val="00644A8A"/>
    <w:rsid w:val="00671B4C"/>
    <w:rsid w:val="00682D68"/>
    <w:rsid w:val="0069053F"/>
    <w:rsid w:val="006E263E"/>
    <w:rsid w:val="007429E5"/>
    <w:rsid w:val="00752C2A"/>
    <w:rsid w:val="00761E1B"/>
    <w:rsid w:val="00763268"/>
    <w:rsid w:val="00786707"/>
    <w:rsid w:val="007D092C"/>
    <w:rsid w:val="007D441E"/>
    <w:rsid w:val="007E5079"/>
    <w:rsid w:val="00813A0B"/>
    <w:rsid w:val="008145E9"/>
    <w:rsid w:val="00814F57"/>
    <w:rsid w:val="00826A9B"/>
    <w:rsid w:val="008307F8"/>
    <w:rsid w:val="008331E0"/>
    <w:rsid w:val="00855C9F"/>
    <w:rsid w:val="00876EBC"/>
    <w:rsid w:val="0088312C"/>
    <w:rsid w:val="008A11D3"/>
    <w:rsid w:val="008E253A"/>
    <w:rsid w:val="008E786A"/>
    <w:rsid w:val="008F38B5"/>
    <w:rsid w:val="008F7A9F"/>
    <w:rsid w:val="00906311"/>
    <w:rsid w:val="00913AF5"/>
    <w:rsid w:val="00930C9A"/>
    <w:rsid w:val="0095462F"/>
    <w:rsid w:val="0097458C"/>
    <w:rsid w:val="00976EB2"/>
    <w:rsid w:val="009A639D"/>
    <w:rsid w:val="009A759B"/>
    <w:rsid w:val="009B2FC8"/>
    <w:rsid w:val="009C214A"/>
    <w:rsid w:val="009C4F2F"/>
    <w:rsid w:val="009E5E2A"/>
    <w:rsid w:val="009F0C8C"/>
    <w:rsid w:val="00A01767"/>
    <w:rsid w:val="00A15C20"/>
    <w:rsid w:val="00A54BD9"/>
    <w:rsid w:val="00A54EF7"/>
    <w:rsid w:val="00A872DD"/>
    <w:rsid w:val="00AB5DC0"/>
    <w:rsid w:val="00B4286E"/>
    <w:rsid w:val="00B8726E"/>
    <w:rsid w:val="00B94A81"/>
    <w:rsid w:val="00BA2C41"/>
    <w:rsid w:val="00BA4990"/>
    <w:rsid w:val="00BA513B"/>
    <w:rsid w:val="00BC6CDB"/>
    <w:rsid w:val="00BD2B8C"/>
    <w:rsid w:val="00BE2D3B"/>
    <w:rsid w:val="00BF319A"/>
    <w:rsid w:val="00C27654"/>
    <w:rsid w:val="00C5077C"/>
    <w:rsid w:val="00C65AEA"/>
    <w:rsid w:val="00C713C1"/>
    <w:rsid w:val="00C7725D"/>
    <w:rsid w:val="00C85C03"/>
    <w:rsid w:val="00CA24F0"/>
    <w:rsid w:val="00CB5877"/>
    <w:rsid w:val="00CF1D7D"/>
    <w:rsid w:val="00D41707"/>
    <w:rsid w:val="00D4508A"/>
    <w:rsid w:val="00D55567"/>
    <w:rsid w:val="00D918DE"/>
    <w:rsid w:val="00DB6771"/>
    <w:rsid w:val="00DD5C74"/>
    <w:rsid w:val="00E054B2"/>
    <w:rsid w:val="00E118A6"/>
    <w:rsid w:val="00E31AC5"/>
    <w:rsid w:val="00E43197"/>
    <w:rsid w:val="00E433E4"/>
    <w:rsid w:val="00E54430"/>
    <w:rsid w:val="00E548F9"/>
    <w:rsid w:val="00E62351"/>
    <w:rsid w:val="00E75836"/>
    <w:rsid w:val="00E82705"/>
    <w:rsid w:val="00EA33D9"/>
    <w:rsid w:val="00EA7DD0"/>
    <w:rsid w:val="00EC62B2"/>
    <w:rsid w:val="00ED3E8C"/>
    <w:rsid w:val="00EE1CA4"/>
    <w:rsid w:val="00EE49ED"/>
    <w:rsid w:val="00F13BEF"/>
    <w:rsid w:val="00F23713"/>
    <w:rsid w:val="00F52F38"/>
    <w:rsid w:val="00F90073"/>
    <w:rsid w:val="00F94FB7"/>
    <w:rsid w:val="00FD7D2B"/>
    <w:rsid w:val="00FE33DF"/>
    <w:rsid w:val="00FE5863"/>
    <w:rsid w:val="00FF2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F3418"/>
  <w15:chartTrackingRefBased/>
  <w15:docId w15:val="{8720CA64-DDD7-43CB-A9AD-A0A9BFEE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705"/>
    <w:pPr>
      <w:spacing w:before="60" w:after="60" w:line="240" w:lineRule="auto"/>
    </w:pPr>
    <w:rPr>
      <w:rFonts w:ascii="Arial" w:hAnsi="Arial"/>
    </w:rPr>
  </w:style>
  <w:style w:type="paragraph" w:styleId="Heading1">
    <w:name w:val="heading 1"/>
    <w:basedOn w:val="Normal"/>
    <w:next w:val="Normal"/>
    <w:link w:val="Heading1Char"/>
    <w:uiPriority w:val="9"/>
    <w:qFormat/>
    <w:rsid w:val="00E82705"/>
    <w:pPr>
      <w:keepNext/>
      <w:keepLines/>
      <w:spacing w:after="120"/>
      <w:outlineLvl w:val="0"/>
    </w:pPr>
    <w:rPr>
      <w:rFonts w:eastAsiaTheme="majorEastAsia" w:cstheme="majorBidi"/>
      <w:b/>
      <w:bCs/>
      <w:color w:val="4085C6"/>
      <w:sz w:val="44"/>
      <w:szCs w:val="28"/>
    </w:rPr>
  </w:style>
  <w:style w:type="paragraph" w:styleId="Heading2">
    <w:name w:val="heading 2"/>
    <w:basedOn w:val="Normal"/>
    <w:next w:val="Normal"/>
    <w:link w:val="Heading2Char"/>
    <w:uiPriority w:val="9"/>
    <w:unhideWhenUsed/>
    <w:qFormat/>
    <w:rsid w:val="00E82705"/>
    <w:pPr>
      <w:keepNext/>
      <w:keepLines/>
      <w:spacing w:after="120"/>
      <w:outlineLvl w:val="1"/>
    </w:pPr>
    <w:rPr>
      <w:rFonts w:eastAsiaTheme="majorEastAsia" w:cstheme="majorBidi"/>
      <w:b/>
      <w:bCs/>
      <w:color w:val="4085C6"/>
      <w:sz w:val="28"/>
      <w:szCs w:val="26"/>
    </w:rPr>
  </w:style>
  <w:style w:type="paragraph" w:styleId="Heading3">
    <w:name w:val="heading 3"/>
    <w:basedOn w:val="Normal"/>
    <w:next w:val="Normal"/>
    <w:link w:val="Heading3Char"/>
    <w:uiPriority w:val="9"/>
    <w:unhideWhenUsed/>
    <w:qFormat/>
    <w:rsid w:val="00E82705"/>
    <w:pPr>
      <w:keepNext/>
      <w:keepLines/>
      <w:outlineLvl w:val="2"/>
    </w:pPr>
    <w:rPr>
      <w:rFonts w:eastAsiaTheme="majorEastAsia" w:cstheme="majorBidi"/>
      <w:b/>
      <w:bCs/>
      <w:color w:val="4085C6"/>
      <w:sz w:val="24"/>
    </w:rPr>
  </w:style>
  <w:style w:type="paragraph" w:styleId="Heading4">
    <w:name w:val="heading 4"/>
    <w:basedOn w:val="Normal"/>
    <w:next w:val="Normal"/>
    <w:link w:val="Heading4Char"/>
    <w:uiPriority w:val="9"/>
    <w:unhideWhenUsed/>
    <w:rsid w:val="00E82705"/>
    <w:pPr>
      <w:keepNext/>
      <w:keepLines/>
      <w:spacing w:before="200"/>
      <w:outlineLvl w:val="3"/>
    </w:pPr>
    <w:rPr>
      <w:rFonts w:eastAsiaTheme="majorEastAsia" w:cstheme="majorBidi"/>
      <w:b/>
      <w:bCs/>
      <w:iCs/>
      <w:color w:val="84BD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7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05"/>
    <w:rPr>
      <w:rFonts w:ascii="Tahoma" w:hAnsi="Tahoma" w:cs="Tahoma"/>
      <w:sz w:val="16"/>
      <w:szCs w:val="16"/>
    </w:rPr>
  </w:style>
  <w:style w:type="character" w:customStyle="1" w:styleId="Heading1Char">
    <w:name w:val="Heading 1 Char"/>
    <w:basedOn w:val="DefaultParagraphFont"/>
    <w:link w:val="Heading1"/>
    <w:uiPriority w:val="9"/>
    <w:rsid w:val="00E82705"/>
    <w:rPr>
      <w:rFonts w:ascii="Arial" w:eastAsiaTheme="majorEastAsia" w:hAnsi="Arial" w:cstheme="majorBidi"/>
      <w:b/>
      <w:bCs/>
      <w:color w:val="4085C6"/>
      <w:sz w:val="44"/>
      <w:szCs w:val="28"/>
    </w:rPr>
  </w:style>
  <w:style w:type="character" w:customStyle="1" w:styleId="Heading2Char">
    <w:name w:val="Heading 2 Char"/>
    <w:basedOn w:val="DefaultParagraphFont"/>
    <w:link w:val="Heading2"/>
    <w:uiPriority w:val="9"/>
    <w:rsid w:val="00E82705"/>
    <w:rPr>
      <w:rFonts w:ascii="Arial" w:eastAsiaTheme="majorEastAsia" w:hAnsi="Arial" w:cstheme="majorBidi"/>
      <w:b/>
      <w:bCs/>
      <w:color w:val="4085C6"/>
      <w:sz w:val="28"/>
      <w:szCs w:val="26"/>
    </w:rPr>
  </w:style>
  <w:style w:type="character" w:customStyle="1" w:styleId="Heading3Char">
    <w:name w:val="Heading 3 Char"/>
    <w:basedOn w:val="DefaultParagraphFont"/>
    <w:link w:val="Heading3"/>
    <w:uiPriority w:val="9"/>
    <w:rsid w:val="00E82705"/>
    <w:rPr>
      <w:rFonts w:ascii="Arial" w:eastAsiaTheme="majorEastAsia" w:hAnsi="Arial" w:cstheme="majorBidi"/>
      <w:b/>
      <w:bCs/>
      <w:color w:val="4085C6"/>
      <w:sz w:val="24"/>
    </w:rPr>
  </w:style>
  <w:style w:type="character" w:customStyle="1" w:styleId="Heading4Char">
    <w:name w:val="Heading 4 Char"/>
    <w:basedOn w:val="DefaultParagraphFont"/>
    <w:link w:val="Heading4"/>
    <w:uiPriority w:val="9"/>
    <w:rsid w:val="00E82705"/>
    <w:rPr>
      <w:rFonts w:ascii="Arial" w:eastAsiaTheme="majorEastAsia" w:hAnsi="Arial" w:cstheme="majorBidi"/>
      <w:b/>
      <w:bCs/>
      <w:iCs/>
      <w:color w:val="84BD00"/>
      <w:sz w:val="24"/>
    </w:rPr>
  </w:style>
  <w:style w:type="paragraph" w:styleId="NoSpacing">
    <w:name w:val="No Spacing"/>
    <w:link w:val="NoSpacingChar"/>
    <w:uiPriority w:val="1"/>
    <w:qFormat/>
    <w:rsid w:val="00E82705"/>
    <w:pPr>
      <w:spacing w:after="0" w:line="240" w:lineRule="auto"/>
    </w:pPr>
    <w:rPr>
      <w:rFonts w:ascii="Arial" w:hAnsi="Arial"/>
    </w:rPr>
  </w:style>
  <w:style w:type="paragraph" w:styleId="Title">
    <w:name w:val="Title"/>
    <w:basedOn w:val="Normal"/>
    <w:next w:val="Normal"/>
    <w:link w:val="TitleChar"/>
    <w:uiPriority w:val="10"/>
    <w:qFormat/>
    <w:rsid w:val="00E82705"/>
    <w:pPr>
      <w:pBdr>
        <w:bottom w:val="single" w:sz="8" w:space="4" w:color="4F81BD" w:themeColor="accent1"/>
      </w:pBdr>
      <w:spacing w:after="300"/>
      <w:contextualSpacing/>
    </w:pPr>
    <w:rPr>
      <w:rFonts w:eastAsiaTheme="majorEastAsia" w:cstheme="majorBidi"/>
      <w:color w:val="6384BD"/>
      <w:spacing w:val="5"/>
      <w:kern w:val="28"/>
      <w:sz w:val="52"/>
      <w:szCs w:val="52"/>
    </w:rPr>
  </w:style>
  <w:style w:type="character" w:customStyle="1" w:styleId="TitleChar">
    <w:name w:val="Title Char"/>
    <w:basedOn w:val="DefaultParagraphFont"/>
    <w:link w:val="Title"/>
    <w:uiPriority w:val="10"/>
    <w:rsid w:val="00E82705"/>
    <w:rPr>
      <w:rFonts w:ascii="Arial" w:eastAsiaTheme="majorEastAsia" w:hAnsi="Arial" w:cstheme="majorBidi"/>
      <w:color w:val="6384BD"/>
      <w:spacing w:val="5"/>
      <w:kern w:val="28"/>
      <w:sz w:val="52"/>
      <w:szCs w:val="52"/>
    </w:rPr>
  </w:style>
  <w:style w:type="paragraph" w:styleId="Subtitle">
    <w:name w:val="Subtitle"/>
    <w:basedOn w:val="Normal"/>
    <w:next w:val="Normal"/>
    <w:link w:val="SubtitleChar"/>
    <w:uiPriority w:val="11"/>
    <w:qFormat/>
    <w:rsid w:val="00E82705"/>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2705"/>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E82705"/>
    <w:rPr>
      <w:rFonts w:ascii="Arial" w:hAnsi="Arial"/>
      <w:i/>
      <w:iCs/>
      <w:color w:val="auto"/>
    </w:rPr>
  </w:style>
  <w:style w:type="character" w:styleId="Emphasis">
    <w:name w:val="Emphasis"/>
    <w:basedOn w:val="DefaultParagraphFont"/>
    <w:uiPriority w:val="20"/>
    <w:qFormat/>
    <w:rsid w:val="00E82705"/>
    <w:rPr>
      <w:rFonts w:ascii="Arial" w:hAnsi="Arial"/>
      <w:i/>
      <w:iCs/>
    </w:rPr>
  </w:style>
  <w:style w:type="character" w:styleId="IntenseEmphasis">
    <w:name w:val="Intense Emphasis"/>
    <w:basedOn w:val="DefaultParagraphFont"/>
    <w:uiPriority w:val="21"/>
    <w:qFormat/>
    <w:rsid w:val="00E82705"/>
    <w:rPr>
      <w:rFonts w:ascii="Arial" w:hAnsi="Arial"/>
      <w:b/>
      <w:bCs/>
      <w:i/>
      <w:iCs/>
      <w:color w:val="4F81BD" w:themeColor="accent1"/>
    </w:rPr>
  </w:style>
  <w:style w:type="character" w:styleId="SubtleReference">
    <w:name w:val="Subtle Reference"/>
    <w:basedOn w:val="DefaultParagraphFont"/>
    <w:uiPriority w:val="31"/>
    <w:qFormat/>
    <w:rsid w:val="00E82705"/>
    <w:rPr>
      <w:rFonts w:ascii="Arial" w:hAnsi="Arial"/>
      <w:smallCaps/>
      <w:color w:val="B4C960"/>
      <w:u w:val="single"/>
    </w:rPr>
  </w:style>
  <w:style w:type="character" w:styleId="IntenseReference">
    <w:name w:val="Intense Reference"/>
    <w:basedOn w:val="DefaultParagraphFont"/>
    <w:uiPriority w:val="32"/>
    <w:qFormat/>
    <w:rsid w:val="00E82705"/>
    <w:rPr>
      <w:rFonts w:ascii="Arial" w:hAnsi="Arial"/>
      <w:b/>
      <w:bCs/>
      <w:smallCaps/>
      <w:color w:val="auto"/>
      <w:spacing w:val="5"/>
      <w:u w:val="single"/>
    </w:rPr>
  </w:style>
  <w:style w:type="character" w:styleId="BookTitle">
    <w:name w:val="Book Title"/>
    <w:basedOn w:val="DefaultParagraphFont"/>
    <w:uiPriority w:val="33"/>
    <w:qFormat/>
    <w:rsid w:val="00E82705"/>
    <w:rPr>
      <w:rFonts w:ascii="Arial" w:hAnsi="Arial"/>
      <w:b/>
      <w:bCs/>
      <w:smallCaps/>
      <w:spacing w:val="5"/>
    </w:rPr>
  </w:style>
  <w:style w:type="paragraph" w:styleId="ListParagraph">
    <w:name w:val="List Paragraph"/>
    <w:basedOn w:val="Normal"/>
    <w:link w:val="ListParagraphChar"/>
    <w:uiPriority w:val="34"/>
    <w:qFormat/>
    <w:rsid w:val="00E82705"/>
    <w:pPr>
      <w:ind w:left="720"/>
      <w:contextualSpacing/>
    </w:pPr>
  </w:style>
  <w:style w:type="paragraph" w:styleId="Header">
    <w:name w:val="header"/>
    <w:basedOn w:val="Normal"/>
    <w:link w:val="HeaderChar"/>
    <w:uiPriority w:val="99"/>
    <w:unhideWhenUsed/>
    <w:rsid w:val="00E82705"/>
    <w:pPr>
      <w:tabs>
        <w:tab w:val="center" w:pos="4513"/>
        <w:tab w:val="right" w:pos="9026"/>
      </w:tabs>
    </w:pPr>
  </w:style>
  <w:style w:type="character" w:customStyle="1" w:styleId="HeaderChar">
    <w:name w:val="Header Char"/>
    <w:basedOn w:val="DefaultParagraphFont"/>
    <w:link w:val="Header"/>
    <w:uiPriority w:val="99"/>
    <w:rsid w:val="00E82705"/>
    <w:rPr>
      <w:rFonts w:ascii="Arial" w:hAnsi="Arial"/>
    </w:rPr>
  </w:style>
  <w:style w:type="paragraph" w:styleId="Footer">
    <w:name w:val="footer"/>
    <w:basedOn w:val="Normal"/>
    <w:link w:val="FooterChar"/>
    <w:uiPriority w:val="99"/>
    <w:unhideWhenUsed/>
    <w:rsid w:val="00E82705"/>
    <w:pPr>
      <w:tabs>
        <w:tab w:val="center" w:pos="4513"/>
        <w:tab w:val="right" w:pos="9026"/>
      </w:tabs>
    </w:pPr>
  </w:style>
  <w:style w:type="character" w:customStyle="1" w:styleId="FooterChar">
    <w:name w:val="Footer Char"/>
    <w:basedOn w:val="DefaultParagraphFont"/>
    <w:link w:val="Footer"/>
    <w:uiPriority w:val="99"/>
    <w:rsid w:val="00E82705"/>
    <w:rPr>
      <w:rFonts w:ascii="Arial" w:hAnsi="Arial"/>
    </w:rPr>
  </w:style>
  <w:style w:type="paragraph" w:styleId="ListBullet">
    <w:name w:val="List Bullet"/>
    <w:basedOn w:val="Normal"/>
    <w:uiPriority w:val="99"/>
    <w:unhideWhenUsed/>
    <w:rsid w:val="00E82705"/>
    <w:pPr>
      <w:numPr>
        <w:numId w:val="4"/>
      </w:numPr>
      <w:contextualSpacing/>
    </w:pPr>
  </w:style>
  <w:style w:type="character" w:customStyle="1" w:styleId="NoSpacingChar">
    <w:name w:val="No Spacing Char"/>
    <w:basedOn w:val="DefaultParagraphFont"/>
    <w:link w:val="NoSpacing"/>
    <w:uiPriority w:val="1"/>
    <w:rsid w:val="00E82705"/>
    <w:rPr>
      <w:rFonts w:ascii="Arial" w:hAnsi="Arial"/>
    </w:rPr>
  </w:style>
  <w:style w:type="paragraph" w:customStyle="1" w:styleId="Style1">
    <w:name w:val="Style1"/>
    <w:basedOn w:val="Heading3"/>
    <w:link w:val="Style1Char"/>
    <w:qFormat/>
    <w:rsid w:val="00E82705"/>
    <w:rPr>
      <w:rFonts w:cs="Arial"/>
      <w:color w:val="84BD00"/>
    </w:rPr>
  </w:style>
  <w:style w:type="character" w:customStyle="1" w:styleId="Style1Char">
    <w:name w:val="Style1 Char"/>
    <w:basedOn w:val="Heading3Char"/>
    <w:link w:val="Style1"/>
    <w:rsid w:val="00E82705"/>
    <w:rPr>
      <w:rFonts w:ascii="Arial" w:eastAsiaTheme="majorEastAsia" w:hAnsi="Arial" w:cs="Arial"/>
      <w:b/>
      <w:bCs/>
      <w:color w:val="84BD00"/>
      <w:sz w:val="24"/>
    </w:rPr>
  </w:style>
  <w:style w:type="paragraph" w:customStyle="1" w:styleId="9icm">
    <w:name w:val="_9icm"/>
    <w:basedOn w:val="Normal"/>
    <w:rsid w:val="00E82705"/>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E8270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Webringourbest">
    <w:name w:val="We bring our best"/>
    <w:basedOn w:val="Heading3"/>
    <w:link w:val="WebringourbestChar"/>
    <w:qFormat/>
    <w:rsid w:val="00E82705"/>
    <w:rPr>
      <w:color w:val="84BD00"/>
    </w:rPr>
  </w:style>
  <w:style w:type="character" w:customStyle="1" w:styleId="WebringourbestChar">
    <w:name w:val="We bring our best Char"/>
    <w:basedOn w:val="Heading3Char"/>
    <w:link w:val="Webringourbest"/>
    <w:rsid w:val="00E82705"/>
    <w:rPr>
      <w:rFonts w:ascii="Arial" w:eastAsiaTheme="majorEastAsia" w:hAnsi="Arial" w:cstheme="majorBidi"/>
      <w:b/>
      <w:bCs/>
      <w:color w:val="84BD00"/>
      <w:sz w:val="24"/>
    </w:rPr>
  </w:style>
  <w:style w:type="paragraph" w:customStyle="1" w:styleId="Wecreatethefuture">
    <w:name w:val="We create the future"/>
    <w:basedOn w:val="Heading3"/>
    <w:link w:val="WecreatethefutureChar"/>
    <w:qFormat/>
    <w:rsid w:val="00E82705"/>
    <w:rPr>
      <w:color w:val="9E007E"/>
    </w:rPr>
  </w:style>
  <w:style w:type="character" w:customStyle="1" w:styleId="WecreatethefutureChar">
    <w:name w:val="We create the future Char"/>
    <w:basedOn w:val="Heading3Char"/>
    <w:link w:val="Wecreatethefuture"/>
    <w:rsid w:val="00E82705"/>
    <w:rPr>
      <w:rFonts w:ascii="Arial" w:eastAsiaTheme="majorEastAsia" w:hAnsi="Arial" w:cstheme="majorBidi"/>
      <w:b/>
      <w:bCs/>
      <w:color w:val="9E007E"/>
      <w:sz w:val="24"/>
    </w:rPr>
  </w:style>
  <w:style w:type="paragraph" w:customStyle="1" w:styleId="Wearestudentminded">
    <w:name w:val="We are student minded"/>
    <w:basedOn w:val="Heading3"/>
    <w:link w:val="WearestudentmindedChar"/>
    <w:qFormat/>
    <w:rsid w:val="00E82705"/>
    <w:rPr>
      <w:color w:val="DC582A"/>
    </w:rPr>
  </w:style>
  <w:style w:type="character" w:customStyle="1" w:styleId="WearestudentmindedChar">
    <w:name w:val="We are student minded Char"/>
    <w:basedOn w:val="Heading3Char"/>
    <w:link w:val="Wearestudentminded"/>
    <w:rsid w:val="00E82705"/>
    <w:rPr>
      <w:rFonts w:ascii="Arial" w:eastAsiaTheme="majorEastAsia" w:hAnsi="Arial" w:cstheme="majorBidi"/>
      <w:b/>
      <w:bCs/>
      <w:color w:val="DC582A"/>
      <w:sz w:val="24"/>
    </w:rPr>
  </w:style>
  <w:style w:type="paragraph" w:customStyle="1" w:styleId="SubHeading">
    <w:name w:val="SubHeading"/>
    <w:basedOn w:val="Normal"/>
    <w:link w:val="SubHeadingChar"/>
    <w:qFormat/>
    <w:rsid w:val="00E82705"/>
    <w:pPr>
      <w:spacing w:before="0" w:after="200" w:line="276" w:lineRule="auto"/>
    </w:pPr>
    <w:rPr>
      <w:rFonts w:cs="Arial"/>
      <w:b/>
      <w:i/>
      <w:color w:val="7F7F7F" w:themeColor="text1" w:themeTint="80"/>
    </w:rPr>
  </w:style>
  <w:style w:type="character" w:customStyle="1" w:styleId="SubHeadingChar">
    <w:name w:val="SubHeading Char"/>
    <w:basedOn w:val="DefaultParagraphFont"/>
    <w:link w:val="SubHeading"/>
    <w:rsid w:val="00E82705"/>
    <w:rPr>
      <w:rFonts w:ascii="Arial" w:hAnsi="Arial" w:cs="Arial"/>
      <w:b/>
      <w:i/>
      <w:color w:val="7F7F7F" w:themeColor="text1" w:themeTint="80"/>
    </w:rPr>
  </w:style>
  <w:style w:type="paragraph" w:customStyle="1" w:styleId="HeadingGreen">
    <w:name w:val="Heading Green"/>
    <w:basedOn w:val="Heading3"/>
    <w:link w:val="HeadingGreenChar"/>
    <w:rsid w:val="00E82705"/>
    <w:rPr>
      <w:rFonts w:cs="Arial"/>
      <w:color w:val="84BD00"/>
    </w:rPr>
  </w:style>
  <w:style w:type="character" w:customStyle="1" w:styleId="HeadingGreenChar">
    <w:name w:val="Heading Green Char"/>
    <w:basedOn w:val="Heading3Char"/>
    <w:link w:val="HeadingGreen"/>
    <w:rsid w:val="00E82705"/>
    <w:rPr>
      <w:rFonts w:ascii="Arial" w:eastAsiaTheme="majorEastAsia" w:hAnsi="Arial" w:cs="Arial"/>
      <w:b/>
      <w:bCs/>
      <w:color w:val="84BD00"/>
      <w:sz w:val="24"/>
    </w:rPr>
  </w:style>
  <w:style w:type="paragraph" w:customStyle="1" w:styleId="WeareTheGordon">
    <w:name w:val="We are The Gordon"/>
    <w:basedOn w:val="Heading3"/>
    <w:link w:val="WeareTheGordonChar"/>
    <w:qFormat/>
    <w:rsid w:val="00E82705"/>
  </w:style>
  <w:style w:type="character" w:customStyle="1" w:styleId="WeareTheGordonChar">
    <w:name w:val="We are The Gordon Char"/>
    <w:basedOn w:val="Heading3Char"/>
    <w:link w:val="WeareTheGordon"/>
    <w:rsid w:val="00E82705"/>
    <w:rPr>
      <w:rFonts w:ascii="Arial" w:eastAsiaTheme="majorEastAsia" w:hAnsi="Arial" w:cstheme="majorBidi"/>
      <w:b/>
      <w:bCs/>
      <w:color w:val="4085C6"/>
      <w:sz w:val="24"/>
    </w:rPr>
  </w:style>
  <w:style w:type="character" w:styleId="Hyperlink">
    <w:name w:val="Hyperlink"/>
    <w:basedOn w:val="DefaultParagraphFont"/>
    <w:uiPriority w:val="99"/>
    <w:rsid w:val="0037151E"/>
    <w:rPr>
      <w:color w:val="0000FF"/>
      <w:u w:val="single"/>
    </w:rPr>
  </w:style>
  <w:style w:type="character" w:customStyle="1" w:styleId="ListParagraphChar">
    <w:name w:val="List Paragraph Char"/>
    <w:basedOn w:val="DefaultParagraphFont"/>
    <w:link w:val="ListParagraph"/>
    <w:uiPriority w:val="34"/>
    <w:rsid w:val="00576D45"/>
    <w:rPr>
      <w:rFonts w:ascii="Arial" w:hAnsi="Arial"/>
    </w:rPr>
  </w:style>
  <w:style w:type="character" w:styleId="CommentReference">
    <w:name w:val="annotation reference"/>
    <w:basedOn w:val="DefaultParagraphFont"/>
    <w:semiHidden/>
    <w:unhideWhenUsed/>
    <w:rsid w:val="00576D45"/>
    <w:rPr>
      <w:sz w:val="16"/>
      <w:szCs w:val="16"/>
    </w:rPr>
  </w:style>
  <w:style w:type="paragraph" w:styleId="CommentText">
    <w:name w:val="annotation text"/>
    <w:basedOn w:val="Normal"/>
    <w:link w:val="CommentTextChar"/>
    <w:unhideWhenUsed/>
    <w:rsid w:val="00576D45"/>
    <w:pPr>
      <w:spacing w:before="0" w:after="0"/>
      <w:jc w:val="both"/>
    </w:pPr>
    <w:rPr>
      <w:sz w:val="20"/>
      <w:szCs w:val="20"/>
    </w:rPr>
  </w:style>
  <w:style w:type="character" w:customStyle="1" w:styleId="CommentTextChar">
    <w:name w:val="Comment Text Char"/>
    <w:basedOn w:val="DefaultParagraphFont"/>
    <w:link w:val="CommentText"/>
    <w:rsid w:val="00576D45"/>
    <w:rPr>
      <w:rFonts w:ascii="Arial" w:hAnsi="Arial"/>
      <w:sz w:val="20"/>
      <w:szCs w:val="20"/>
    </w:rPr>
  </w:style>
  <w:style w:type="paragraph" w:customStyle="1" w:styleId="POPRHeading3">
    <w:name w:val="PO PR Heading 3"/>
    <w:basedOn w:val="ListParagraph"/>
    <w:link w:val="POPRHeading3Char"/>
    <w:qFormat/>
    <w:rsid w:val="00576D45"/>
    <w:pPr>
      <w:numPr>
        <w:numId w:val="5"/>
      </w:numPr>
      <w:spacing w:before="0" w:after="0"/>
      <w:ind w:hanging="286"/>
      <w:jc w:val="both"/>
    </w:pPr>
    <w:rPr>
      <w:b/>
      <w:sz w:val="20"/>
      <w:szCs w:val="20"/>
    </w:rPr>
  </w:style>
  <w:style w:type="character" w:customStyle="1" w:styleId="POPRHeading3Char">
    <w:name w:val="PO PR Heading 3 Char"/>
    <w:basedOn w:val="ListParagraphChar"/>
    <w:link w:val="POPRHeading3"/>
    <w:rsid w:val="00576D45"/>
    <w:rPr>
      <w:rFonts w:ascii="Arial" w:hAnsi="Arial"/>
      <w:b/>
      <w:sz w:val="20"/>
      <w:szCs w:val="20"/>
    </w:rPr>
  </w:style>
  <w:style w:type="paragraph" w:customStyle="1" w:styleId="StyleListParagraph12ptBoldHEAD2">
    <w:name w:val="Style List Paragraph + 12 pt Bold HEAD 2"/>
    <w:basedOn w:val="ListParagraph"/>
    <w:link w:val="StyleListParagraph12ptBoldHEAD2Char"/>
    <w:rsid w:val="00576D45"/>
    <w:pPr>
      <w:numPr>
        <w:numId w:val="6"/>
      </w:numPr>
      <w:spacing w:before="0" w:after="0"/>
      <w:jc w:val="both"/>
    </w:pPr>
    <w:rPr>
      <w:b/>
      <w:bCs/>
      <w:sz w:val="24"/>
    </w:rPr>
  </w:style>
  <w:style w:type="paragraph" w:customStyle="1" w:styleId="POPRHEADING2">
    <w:name w:val="PO PR HEADING 2"/>
    <w:basedOn w:val="StyleListParagraph12ptBoldHEAD2"/>
    <w:link w:val="POPRHEADING2Char"/>
    <w:qFormat/>
    <w:rsid w:val="00576D45"/>
    <w:pPr>
      <w:spacing w:after="200"/>
      <w:ind w:left="425" w:hanging="425"/>
    </w:pPr>
  </w:style>
  <w:style w:type="character" w:customStyle="1" w:styleId="POPRHEADING2Char">
    <w:name w:val="PO PR HEADING 2 Char"/>
    <w:basedOn w:val="DefaultParagraphFont"/>
    <w:link w:val="POPRHEADING2"/>
    <w:rsid w:val="00576D45"/>
    <w:rPr>
      <w:rFonts w:ascii="Arial" w:hAnsi="Arial"/>
      <w:b/>
      <w:bCs/>
      <w:sz w:val="24"/>
    </w:rPr>
  </w:style>
  <w:style w:type="paragraph" w:customStyle="1" w:styleId="POHyperlink">
    <w:name w:val="PO Hyperlink"/>
    <w:basedOn w:val="Normal"/>
    <w:link w:val="POHyperlinkChar"/>
    <w:qFormat/>
    <w:rsid w:val="00576D45"/>
    <w:pPr>
      <w:spacing w:before="0" w:after="0"/>
      <w:ind w:left="426"/>
    </w:pPr>
    <w:rPr>
      <w:rFonts w:eastAsia="Times New Roman" w:cs="Arial"/>
      <w:color w:val="4F81BD" w:themeColor="accent1"/>
      <w:spacing w:val="-2"/>
      <w:sz w:val="20"/>
      <w:szCs w:val="20"/>
    </w:rPr>
  </w:style>
  <w:style w:type="character" w:customStyle="1" w:styleId="POHyperlinkChar">
    <w:name w:val="PO Hyperlink Char"/>
    <w:basedOn w:val="DefaultParagraphFont"/>
    <w:link w:val="POHyperlink"/>
    <w:rsid w:val="00576D45"/>
    <w:rPr>
      <w:rFonts w:ascii="Arial" w:eastAsia="Times New Roman" w:hAnsi="Arial" w:cs="Arial"/>
      <w:color w:val="4F81BD" w:themeColor="accent1"/>
      <w:spacing w:val="-2"/>
      <w:sz w:val="20"/>
      <w:szCs w:val="20"/>
    </w:rPr>
  </w:style>
  <w:style w:type="table" w:styleId="TableGrid">
    <w:name w:val="Table Grid"/>
    <w:basedOn w:val="TableNormal"/>
    <w:uiPriority w:val="59"/>
    <w:rsid w:val="005A0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B6771"/>
    <w:pPr>
      <w:spacing w:before="60" w:after="60"/>
      <w:jc w:val="left"/>
    </w:pPr>
    <w:rPr>
      <w:b/>
      <w:bCs/>
    </w:rPr>
  </w:style>
  <w:style w:type="character" w:customStyle="1" w:styleId="CommentSubjectChar">
    <w:name w:val="Comment Subject Char"/>
    <w:basedOn w:val="CommentTextChar"/>
    <w:link w:val="CommentSubject"/>
    <w:uiPriority w:val="99"/>
    <w:semiHidden/>
    <w:rsid w:val="00DB6771"/>
    <w:rPr>
      <w:rFonts w:ascii="Arial" w:hAnsi="Arial"/>
      <w:b/>
      <w:bCs/>
      <w:sz w:val="20"/>
      <w:szCs w:val="20"/>
    </w:rPr>
  </w:style>
  <w:style w:type="paragraph" w:styleId="Revision">
    <w:name w:val="Revision"/>
    <w:hidden/>
    <w:uiPriority w:val="99"/>
    <w:semiHidden/>
    <w:rsid w:val="00DB6771"/>
    <w:pPr>
      <w:spacing w:after="0" w:line="240" w:lineRule="auto"/>
    </w:pPr>
    <w:rPr>
      <w:rFonts w:ascii="Arial" w:hAnsi="Arial"/>
    </w:rPr>
  </w:style>
  <w:style w:type="paragraph" w:customStyle="1" w:styleId="POPRBulletpoint">
    <w:name w:val="PO PR Bullet point"/>
    <w:basedOn w:val="ListParagraph"/>
    <w:qFormat/>
    <w:rsid w:val="00A872DD"/>
    <w:pPr>
      <w:numPr>
        <w:numId w:val="20"/>
      </w:numPr>
      <w:spacing w:before="0" w:after="0"/>
      <w:jc w:val="both"/>
    </w:pPr>
    <w:rPr>
      <w:sz w:val="20"/>
      <w:szCs w:val="20"/>
    </w:rPr>
  </w:style>
  <w:style w:type="character" w:styleId="FootnoteReference">
    <w:name w:val="footnote reference"/>
    <w:basedOn w:val="DefaultParagraphFont"/>
    <w:semiHidden/>
    <w:unhideWhenUsed/>
    <w:rsid w:val="00A872DD"/>
    <w:rPr>
      <w:vertAlign w:val="superscript"/>
    </w:rPr>
  </w:style>
  <w:style w:type="character" w:customStyle="1" w:styleId="StyleListParagraph12ptBoldHEAD2Char">
    <w:name w:val="Style List Paragraph + 12 pt Bold HEAD 2 Char"/>
    <w:basedOn w:val="ListParagraphChar"/>
    <w:link w:val="StyleListParagraph12ptBoldHEAD2"/>
    <w:locked/>
    <w:rsid w:val="008E786A"/>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26497">
      <w:bodyDiv w:val="1"/>
      <w:marLeft w:val="0"/>
      <w:marRight w:val="0"/>
      <w:marTop w:val="0"/>
      <w:marBottom w:val="0"/>
      <w:divBdr>
        <w:top w:val="none" w:sz="0" w:space="0" w:color="auto"/>
        <w:left w:val="none" w:sz="0" w:space="0" w:color="auto"/>
        <w:bottom w:val="none" w:sz="0" w:space="0" w:color="auto"/>
        <w:right w:val="none" w:sz="0" w:space="0" w:color="auto"/>
      </w:divBdr>
    </w:div>
    <w:div w:id="1496452541">
      <w:bodyDiv w:val="1"/>
      <w:marLeft w:val="0"/>
      <w:marRight w:val="0"/>
      <w:marTop w:val="0"/>
      <w:marBottom w:val="0"/>
      <w:divBdr>
        <w:top w:val="none" w:sz="0" w:space="0" w:color="auto"/>
        <w:left w:val="none" w:sz="0" w:space="0" w:color="auto"/>
        <w:bottom w:val="none" w:sz="0" w:space="0" w:color="auto"/>
        <w:right w:val="none" w:sz="0" w:space="0" w:color="auto"/>
      </w:divBdr>
    </w:div>
    <w:div w:id="1743215929">
      <w:bodyDiv w:val="1"/>
      <w:marLeft w:val="0"/>
      <w:marRight w:val="0"/>
      <w:marTop w:val="0"/>
      <w:marBottom w:val="0"/>
      <w:divBdr>
        <w:top w:val="none" w:sz="0" w:space="0" w:color="auto"/>
        <w:left w:val="none" w:sz="0" w:space="0" w:color="auto"/>
        <w:bottom w:val="none" w:sz="0" w:space="0" w:color="auto"/>
        <w:right w:val="none" w:sz="0" w:space="0" w:color="auto"/>
      </w:divBdr>
    </w:div>
    <w:div w:id="1820490424">
      <w:bodyDiv w:val="1"/>
      <w:marLeft w:val="0"/>
      <w:marRight w:val="0"/>
      <w:marTop w:val="0"/>
      <w:marBottom w:val="0"/>
      <w:divBdr>
        <w:top w:val="none" w:sz="0" w:space="0" w:color="auto"/>
        <w:left w:val="none" w:sz="0" w:space="0" w:color="auto"/>
        <w:bottom w:val="none" w:sz="0" w:space="0" w:color="auto"/>
        <w:right w:val="none" w:sz="0" w:space="0" w:color="auto"/>
      </w:divBdr>
    </w:div>
    <w:div w:id="20624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ps.gordontafe.edu.au/masterdocumentlist/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oviders.dffh.vic.gov.au/child-safe-standards" TargetMode="External"/><Relationship Id="rId4" Type="http://schemas.openxmlformats.org/officeDocument/2006/relationships/settings" Target="settings.xml"/><Relationship Id="rId9" Type="http://schemas.openxmlformats.org/officeDocument/2006/relationships/hyperlink" Target="https://www.legislation.vic.gov.au/in-force/statutory-rules/occupational-health-and-safety-regulations-2017/01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737D-7A92-49BD-8F61-C88FB01F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TheGordon</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Altmeier</dc:creator>
  <cp:keywords/>
  <dc:description/>
  <cp:lastModifiedBy>Sue Matthews</cp:lastModifiedBy>
  <cp:revision>55</cp:revision>
  <cp:lastPrinted>2010-04-27T06:38:00Z</cp:lastPrinted>
  <dcterms:created xsi:type="dcterms:W3CDTF">2023-07-20T07:28:00Z</dcterms:created>
  <dcterms:modified xsi:type="dcterms:W3CDTF">2023-12-04T02:30:00Z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0478e3-4d8d-4019-aaeb-4396b68f3490_Enabled">
    <vt:lpwstr>true</vt:lpwstr>
  </property>
  <property fmtid="{D5CDD505-2E9C-101B-9397-08002B2CF9AE}" pid="3" name="MSIP_Label_e60478e3-4d8d-4019-aaeb-4396b68f3490_SetDate">
    <vt:lpwstr>2023-12-04T02:30:47Z</vt:lpwstr>
  </property>
  <property fmtid="{D5CDD505-2E9C-101B-9397-08002B2CF9AE}" pid="4" name="MSIP_Label_e60478e3-4d8d-4019-aaeb-4396b68f3490_Method">
    <vt:lpwstr>Standard</vt:lpwstr>
  </property>
  <property fmtid="{D5CDD505-2E9C-101B-9397-08002B2CF9AE}" pid="5" name="MSIP_Label_e60478e3-4d8d-4019-aaeb-4396b68f3490_Name">
    <vt:lpwstr>Official</vt:lpwstr>
  </property>
  <property fmtid="{D5CDD505-2E9C-101B-9397-08002B2CF9AE}" pid="6" name="MSIP_Label_e60478e3-4d8d-4019-aaeb-4396b68f3490_SiteId">
    <vt:lpwstr>e0bfa577-8ee6-4579-ab84-752a3ceaf5b4</vt:lpwstr>
  </property>
  <property fmtid="{D5CDD505-2E9C-101B-9397-08002B2CF9AE}" pid="7" name="MSIP_Label_e60478e3-4d8d-4019-aaeb-4396b68f3490_ActionId">
    <vt:lpwstr>f1a6deae-0698-4f51-98d8-751e0be5e381</vt:lpwstr>
  </property>
  <property fmtid="{D5CDD505-2E9C-101B-9397-08002B2CF9AE}" pid="8" name="MSIP_Label_e60478e3-4d8d-4019-aaeb-4396b68f3490_ContentBits">
    <vt:lpwstr>3</vt:lpwstr>
  </property>
</Properties>
</file>